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FangSong_GB2312" w:eastAsia="FangSong_GB2312"/>
          <w:sz w:val="32"/>
        </w:rPr>
      </w:pPr>
      <w:r>
        <w:rPr>
          <w:rFonts w:hint="eastAsia" w:ascii="FangSong_GB2312" w:eastAsia="FangSong_GB2312"/>
          <w:sz w:val="32"/>
        </w:rPr>
        <w:t>附件1：</w:t>
      </w:r>
    </w:p>
    <w:p>
      <w:pPr>
        <w:jc w:val="center"/>
        <w:rPr>
          <w:rFonts w:ascii="FangSong_GB2312" w:eastAsia="FangSong_GB2312"/>
          <w:b/>
          <w:sz w:val="32"/>
        </w:rPr>
      </w:pPr>
      <w:r>
        <w:rPr>
          <w:rFonts w:hint="eastAsia" w:ascii="FangSong_GB2312" w:eastAsia="FangSong_GB2312"/>
          <w:b/>
          <w:sz w:val="32"/>
        </w:rPr>
        <w:t>哈尔滨市市级财政专项资金股权投资基金管理暂行办法</w:t>
      </w:r>
    </w:p>
    <w:p>
      <w:pPr>
        <w:rPr>
          <w:rFonts w:ascii="FangSong_GB2312" w:eastAsia="FangSong_GB2312"/>
          <w:sz w:val="32"/>
        </w:rPr>
      </w:pPr>
    </w:p>
    <w:p>
      <w:pPr>
        <w:rPr>
          <w:rFonts w:ascii="FangSong_GB2312" w:eastAsia="FangSong_GB2312"/>
          <w:sz w:val="32"/>
        </w:rPr>
      </w:pPr>
      <w:r>
        <w:rPr>
          <w:rFonts w:hint="eastAsia" w:ascii="FangSong_GB2312" w:eastAsia="FangSong_GB2312"/>
          <w:sz w:val="32"/>
        </w:rPr>
        <w:t>　　第一章</w:t>
      </w:r>
      <w:r>
        <w:rPr>
          <w:rFonts w:ascii="FangSong_GB2312" w:eastAsia="FangSong_GB2312"/>
          <w:sz w:val="32"/>
        </w:rPr>
        <w:t xml:space="preserve"> 总  则</w:t>
      </w:r>
    </w:p>
    <w:p>
      <w:pPr>
        <w:rPr>
          <w:rFonts w:ascii="FangSong_GB2312" w:eastAsia="FangSong_GB2312"/>
          <w:sz w:val="32"/>
        </w:rPr>
      </w:pPr>
    </w:p>
    <w:p>
      <w:pPr>
        <w:rPr>
          <w:rFonts w:ascii="FangSong_GB2312" w:eastAsia="FangSong_GB2312"/>
          <w:sz w:val="32"/>
        </w:rPr>
      </w:pPr>
      <w:r>
        <w:rPr>
          <w:rFonts w:hint="eastAsia" w:ascii="FangSong_GB2312" w:eastAsia="FangSong_GB2312"/>
          <w:sz w:val="32"/>
        </w:rPr>
        <w:t>　　第一条</w:t>
      </w:r>
      <w:r>
        <w:rPr>
          <w:rFonts w:ascii="FangSong_GB2312" w:eastAsia="FangSong_GB2312"/>
          <w:sz w:val="32"/>
        </w:rPr>
        <w:t xml:space="preserve">  为规范市级财政专项资金股权投资基金管理，创新财政专项资金使用方式，发挥市场配置资源作用和财政专项资金撬动放大作用，引导社会资本投向创新创业、产业发展等领域，大力培育新兴企业，促进产业转型升级，根据《哈尔滨市市级财政专项资金管理办法》等有关规定，制定本办法。</w:t>
      </w:r>
    </w:p>
    <w:p>
      <w:pPr>
        <w:rPr>
          <w:rFonts w:ascii="FangSong_GB2312" w:eastAsia="FangSong_GB2312"/>
          <w:sz w:val="32"/>
        </w:rPr>
      </w:pPr>
    </w:p>
    <w:p>
      <w:pPr>
        <w:rPr>
          <w:rFonts w:ascii="FangSong_GB2312" w:eastAsia="FangSong_GB2312"/>
          <w:sz w:val="32"/>
        </w:rPr>
      </w:pPr>
      <w:r>
        <w:rPr>
          <w:rFonts w:hint="eastAsia" w:ascii="FangSong_GB2312" w:eastAsia="FangSong_GB2312"/>
          <w:sz w:val="32"/>
        </w:rPr>
        <w:t>　　第二条</w:t>
      </w:r>
      <w:r>
        <w:rPr>
          <w:rFonts w:ascii="FangSong_GB2312" w:eastAsia="FangSong_GB2312"/>
          <w:sz w:val="32"/>
        </w:rPr>
        <w:t xml:space="preserve">  本办法所称市级财政专项资金，是指《哈尔滨市市级财政专项资金管理办法》确定的各类专项资金。</w:t>
      </w:r>
    </w:p>
    <w:p>
      <w:pPr>
        <w:rPr>
          <w:rFonts w:ascii="FangSong_GB2312" w:eastAsia="FangSong_GB2312"/>
          <w:sz w:val="32"/>
        </w:rPr>
      </w:pPr>
    </w:p>
    <w:p>
      <w:pPr>
        <w:rPr>
          <w:rFonts w:ascii="FangSong_GB2312" w:eastAsia="FangSong_GB2312"/>
          <w:sz w:val="32"/>
        </w:rPr>
      </w:pPr>
      <w:r>
        <w:rPr>
          <w:rFonts w:hint="eastAsia" w:ascii="FangSong_GB2312" w:eastAsia="FangSong_GB2312"/>
          <w:sz w:val="32"/>
        </w:rPr>
        <w:t>　　本办法所称的股权投资基金，是指利用市级财政专项资金出资设立并按照市场化运作的哈尔滨市风险投资基金和哈尔滨市产业投资基金（以下统称股权投资基金）。哈尔滨市风险投资基金主要用于设立或增资各类风险投资子基金，哈尔滨市产业投资基金主要用于设立或增资各类产业投资子基金。经市政府批准，股权投资基金也可采取直接投资等其他方式进行投资。</w:t>
      </w:r>
    </w:p>
    <w:p>
      <w:pPr>
        <w:rPr>
          <w:rFonts w:ascii="FangSong_GB2312" w:eastAsia="FangSong_GB2312"/>
          <w:sz w:val="32"/>
        </w:rPr>
      </w:pPr>
    </w:p>
    <w:p>
      <w:pPr>
        <w:rPr>
          <w:rFonts w:ascii="FangSong_GB2312" w:eastAsia="FangSong_GB2312"/>
          <w:sz w:val="32"/>
        </w:rPr>
      </w:pPr>
      <w:r>
        <w:rPr>
          <w:rFonts w:hint="eastAsia" w:ascii="FangSong_GB2312" w:eastAsia="FangSong_GB2312"/>
          <w:sz w:val="32"/>
        </w:rPr>
        <w:t>　　第三条</w:t>
      </w:r>
      <w:r>
        <w:rPr>
          <w:rFonts w:ascii="FangSong_GB2312" w:eastAsia="FangSong_GB2312"/>
          <w:sz w:val="32"/>
        </w:rPr>
        <w:t xml:space="preserve">  对年底前尚未安排使用的市级财政专项资金，由市财政部门统筹整合注入股权投资基金。</w:t>
      </w:r>
    </w:p>
    <w:p>
      <w:pPr>
        <w:rPr>
          <w:rFonts w:ascii="FangSong_GB2312" w:eastAsia="FangSong_GB2312"/>
          <w:sz w:val="32"/>
        </w:rPr>
      </w:pPr>
    </w:p>
    <w:p>
      <w:pPr>
        <w:rPr>
          <w:rFonts w:ascii="FangSong_GB2312" w:eastAsia="FangSong_GB2312"/>
          <w:sz w:val="32"/>
        </w:rPr>
      </w:pPr>
      <w:r>
        <w:rPr>
          <w:rFonts w:hint="eastAsia" w:ascii="FangSong_GB2312" w:eastAsia="FangSong_GB2312"/>
          <w:sz w:val="32"/>
        </w:rPr>
        <w:t>　　第二章</w:t>
      </w:r>
      <w:r>
        <w:rPr>
          <w:rFonts w:ascii="FangSong_GB2312" w:eastAsia="FangSong_GB2312"/>
          <w:sz w:val="32"/>
        </w:rPr>
        <w:t xml:space="preserve">  管理运作</w:t>
      </w:r>
    </w:p>
    <w:p>
      <w:pPr>
        <w:rPr>
          <w:rFonts w:ascii="FangSong_GB2312" w:eastAsia="FangSong_GB2312"/>
          <w:sz w:val="32"/>
        </w:rPr>
      </w:pPr>
    </w:p>
    <w:p>
      <w:pPr>
        <w:rPr>
          <w:rFonts w:ascii="FangSong_GB2312" w:eastAsia="FangSong_GB2312"/>
          <w:sz w:val="32"/>
        </w:rPr>
      </w:pPr>
      <w:r>
        <w:rPr>
          <w:rFonts w:hint="eastAsia" w:ascii="FangSong_GB2312" w:eastAsia="FangSong_GB2312"/>
          <w:sz w:val="32"/>
        </w:rPr>
        <w:t>　　第四条</w:t>
      </w:r>
      <w:r>
        <w:rPr>
          <w:rFonts w:ascii="FangSong_GB2312" w:eastAsia="FangSong_GB2312"/>
          <w:sz w:val="32"/>
        </w:rPr>
        <w:t xml:space="preserve">  股权投资基金实行决策与管理相分离的决策管理体制，按照市场运作、科学决策、滚动使用、防范风险的原则运行。</w:t>
      </w:r>
    </w:p>
    <w:p>
      <w:pPr>
        <w:rPr>
          <w:rFonts w:ascii="FangSong_GB2312" w:eastAsia="FangSong_GB2312"/>
          <w:sz w:val="32"/>
        </w:rPr>
      </w:pPr>
    </w:p>
    <w:p>
      <w:pPr>
        <w:rPr>
          <w:rFonts w:ascii="FangSong_GB2312" w:eastAsia="FangSong_GB2312"/>
          <w:sz w:val="32"/>
        </w:rPr>
      </w:pPr>
      <w:r>
        <w:rPr>
          <w:rFonts w:hint="eastAsia" w:ascii="FangSong_GB2312" w:eastAsia="FangSong_GB2312"/>
          <w:sz w:val="32"/>
        </w:rPr>
        <w:t>　　（一）成立市股权投资基金投资决策委员会（以下简称投委会），主任由分管副市长担任，成员由市财政局、市发改委、市科技局、市金融局、市工信局、市国资委、市市场监管局等部门分管负责人和行业内专家组成。经市政府授权，投委会负责确定股权投资基金资金筹集、支持方向和管理制度，审定股权投资基金股权投资方案等，协调解决股权投资基金管理中的重大事项。投委会办公室设在市财政局，负责日常事务。</w:t>
      </w:r>
    </w:p>
    <w:p>
      <w:pPr>
        <w:rPr>
          <w:rFonts w:ascii="FangSong_GB2312" w:eastAsia="FangSong_GB2312"/>
          <w:sz w:val="32"/>
        </w:rPr>
      </w:pPr>
    </w:p>
    <w:p>
      <w:pPr>
        <w:rPr>
          <w:rFonts w:ascii="FangSong_GB2312" w:eastAsia="FangSong_GB2312"/>
          <w:sz w:val="32"/>
        </w:rPr>
      </w:pPr>
      <w:r>
        <w:rPr>
          <w:rFonts w:hint="eastAsia" w:ascii="FangSong_GB2312" w:eastAsia="FangSong_GB2312"/>
          <w:sz w:val="32"/>
        </w:rPr>
        <w:t>　　（二）市财政局负责专项资金的统筹整合、拨付，代表市政府依法享有股权投资基金资产收益，开展对股权投资基金财务监管。</w:t>
      </w:r>
    </w:p>
    <w:p>
      <w:pPr>
        <w:rPr>
          <w:rFonts w:ascii="FangSong_GB2312" w:eastAsia="FangSong_GB2312"/>
          <w:sz w:val="32"/>
        </w:rPr>
      </w:pPr>
    </w:p>
    <w:p>
      <w:pPr>
        <w:rPr>
          <w:rFonts w:ascii="FangSong_GB2312" w:eastAsia="FangSong_GB2312"/>
          <w:sz w:val="32"/>
        </w:rPr>
      </w:pPr>
      <w:r>
        <w:rPr>
          <w:rFonts w:hint="eastAsia" w:ascii="FangSong_GB2312" w:eastAsia="FangSong_GB2312"/>
          <w:sz w:val="32"/>
        </w:rPr>
        <w:t>　　（三）哈尔滨经济开发投资公司（以下简称经开公司）受政府委托，管理和市场化运作股权投资基金，负责建立股权投资基金专户，拟定和实施股权投资方案，按照协议约定行使子基金出资人职责，持有子基金股权，监管子基金投资项目，推荐投委会行业内专家。市财政对股权投资基金的出资以资本金形式注入经开公司。</w:t>
      </w:r>
    </w:p>
    <w:p>
      <w:pPr>
        <w:rPr>
          <w:rFonts w:ascii="FangSong_GB2312" w:eastAsia="FangSong_GB2312"/>
          <w:sz w:val="32"/>
        </w:rPr>
      </w:pPr>
    </w:p>
    <w:p>
      <w:pPr>
        <w:rPr>
          <w:rFonts w:ascii="FangSong_GB2312" w:eastAsia="FangSong_GB2312"/>
          <w:sz w:val="32"/>
        </w:rPr>
      </w:pPr>
      <w:r>
        <w:rPr>
          <w:rFonts w:hint="eastAsia" w:ascii="FangSong_GB2312" w:eastAsia="FangSong_GB2312"/>
          <w:sz w:val="32"/>
        </w:rPr>
        <w:t>　　（四）投委会成员单位及其他行业主管部门负责建立本行业投资项目库，建立子基金与待投资项目对接机制，从项目库择优推荐投资项目。</w:t>
      </w:r>
    </w:p>
    <w:p>
      <w:pPr>
        <w:rPr>
          <w:rFonts w:ascii="FangSong_GB2312" w:eastAsia="FangSong_GB2312"/>
          <w:sz w:val="32"/>
        </w:rPr>
      </w:pPr>
    </w:p>
    <w:p>
      <w:pPr>
        <w:rPr>
          <w:rFonts w:ascii="FangSong_GB2312" w:eastAsia="FangSong_GB2312"/>
          <w:sz w:val="32"/>
        </w:rPr>
      </w:pPr>
      <w:r>
        <w:rPr>
          <w:rFonts w:hint="eastAsia" w:ascii="FangSong_GB2312" w:eastAsia="FangSong_GB2312"/>
          <w:sz w:val="32"/>
        </w:rPr>
        <w:t>　　第五条</w:t>
      </w:r>
      <w:r>
        <w:rPr>
          <w:rFonts w:ascii="FangSong_GB2312" w:eastAsia="FangSong_GB2312"/>
          <w:sz w:val="32"/>
        </w:rPr>
        <w:t xml:space="preserve">  股权投资基金须以“以出资额为限承担有限责任”的形式出资，参股不控股，且对子基金的出资比例不超过子基金规模的50%。</w:t>
      </w:r>
    </w:p>
    <w:p>
      <w:pPr>
        <w:rPr>
          <w:rFonts w:ascii="FangSong_GB2312" w:eastAsia="FangSong_GB2312"/>
          <w:sz w:val="32"/>
        </w:rPr>
      </w:pPr>
    </w:p>
    <w:p>
      <w:pPr>
        <w:rPr>
          <w:rFonts w:ascii="FangSong_GB2312" w:eastAsia="FangSong_GB2312"/>
          <w:sz w:val="32"/>
        </w:rPr>
      </w:pPr>
      <w:r>
        <w:rPr>
          <w:rFonts w:hint="eastAsia" w:ascii="FangSong_GB2312" w:eastAsia="FangSong_GB2312"/>
          <w:sz w:val="32"/>
        </w:rPr>
        <w:t>　　第六条</w:t>
      </w:r>
      <w:r>
        <w:rPr>
          <w:rFonts w:ascii="FangSong_GB2312" w:eastAsia="FangSong_GB2312"/>
          <w:sz w:val="32"/>
        </w:rPr>
        <w:t xml:space="preserve">  股权投资基金设立或增资子基金的，按照以下程序进行投资：</w:t>
      </w:r>
    </w:p>
    <w:p>
      <w:pPr>
        <w:rPr>
          <w:rFonts w:ascii="FangSong_GB2312" w:eastAsia="FangSong_GB2312"/>
          <w:sz w:val="32"/>
        </w:rPr>
      </w:pPr>
    </w:p>
    <w:p>
      <w:pPr>
        <w:rPr>
          <w:rFonts w:ascii="FangSong_GB2312" w:eastAsia="FangSong_GB2312"/>
          <w:sz w:val="32"/>
        </w:rPr>
      </w:pPr>
      <w:r>
        <w:rPr>
          <w:rFonts w:hint="eastAsia" w:ascii="FangSong_GB2312" w:eastAsia="FangSong_GB2312"/>
          <w:sz w:val="32"/>
        </w:rPr>
        <w:t>　　（一）经开公司根据投委会确定的投资方向和投资计划公开征集子基金管理机构。</w:t>
      </w:r>
    </w:p>
    <w:p>
      <w:pPr>
        <w:rPr>
          <w:rFonts w:ascii="FangSong_GB2312" w:eastAsia="FangSong_GB2312"/>
          <w:sz w:val="32"/>
        </w:rPr>
      </w:pPr>
      <w:r>
        <w:rPr>
          <w:rFonts w:hint="eastAsia" w:ascii="FangSong_GB2312" w:eastAsia="FangSong_GB2312"/>
          <w:sz w:val="32"/>
        </w:rPr>
        <w:t>　　（二）经开公司独立开展尽职调查、入股谈判，拟定子基金章程或合伙协议、子基金投资方案。</w:t>
      </w:r>
    </w:p>
    <w:p>
      <w:pPr>
        <w:rPr>
          <w:rFonts w:ascii="FangSong_GB2312" w:eastAsia="FangSong_GB2312"/>
          <w:sz w:val="32"/>
        </w:rPr>
      </w:pPr>
      <w:r>
        <w:rPr>
          <w:rFonts w:hint="eastAsia" w:ascii="FangSong_GB2312" w:eastAsia="FangSong_GB2312"/>
          <w:sz w:val="32"/>
        </w:rPr>
        <w:t>　　（三）投委会办公室提请投委会召开会议审议确定子基金投资方案。</w:t>
      </w:r>
    </w:p>
    <w:p>
      <w:pPr>
        <w:rPr>
          <w:rFonts w:ascii="FangSong_GB2312" w:eastAsia="FangSong_GB2312"/>
          <w:sz w:val="32"/>
        </w:rPr>
      </w:pPr>
      <w:r>
        <w:rPr>
          <w:rFonts w:hint="eastAsia" w:ascii="FangSong_GB2312" w:eastAsia="FangSong_GB2312"/>
          <w:sz w:val="32"/>
        </w:rPr>
        <w:t>　　（四）经开公司根据投委会决议，与子基金管理机构签订投资协议，按协议约定时间与其他社会投资人同步拨付资金。</w:t>
      </w:r>
    </w:p>
    <w:p>
      <w:pPr>
        <w:rPr>
          <w:rFonts w:ascii="FangSong_GB2312" w:eastAsia="FangSong_GB2312"/>
          <w:sz w:val="32"/>
        </w:rPr>
      </w:pPr>
    </w:p>
    <w:p>
      <w:pPr>
        <w:rPr>
          <w:rFonts w:ascii="FangSong_GB2312" w:eastAsia="FangSong_GB2312"/>
          <w:sz w:val="32"/>
        </w:rPr>
      </w:pPr>
      <w:r>
        <w:rPr>
          <w:rFonts w:hint="eastAsia" w:ascii="FangSong_GB2312" w:eastAsia="FangSong_GB2312"/>
          <w:sz w:val="32"/>
        </w:rPr>
        <w:t>　　第七条</w:t>
      </w:r>
      <w:r>
        <w:rPr>
          <w:rFonts w:ascii="FangSong_GB2312" w:eastAsia="FangSong_GB2312"/>
          <w:sz w:val="32"/>
        </w:rPr>
        <w:t xml:space="preserve">  股权投资基金采取直接投资方式的，原则上应与其他私募股权投资基金或社会资本按照同样价格同时投资，且投资金额不得超过相应基金或社会资本投资额。经开公司应将股权直接投资方案报投委会批准后实施。</w:t>
      </w:r>
    </w:p>
    <w:p>
      <w:pPr>
        <w:rPr>
          <w:rFonts w:ascii="FangSong_GB2312" w:eastAsia="FangSong_GB2312"/>
          <w:sz w:val="32"/>
        </w:rPr>
      </w:pPr>
      <w:r>
        <w:rPr>
          <w:rFonts w:hint="eastAsia" w:ascii="FangSong_GB2312" w:eastAsia="FangSong_GB2312"/>
          <w:sz w:val="32"/>
        </w:rPr>
        <w:t>　　对于市政府确定需重点扶持的产业项目，经投委会批准，可以采取“一事一议”原则确定投资方案，不受出资比例限制。</w:t>
      </w:r>
    </w:p>
    <w:p>
      <w:pPr>
        <w:rPr>
          <w:rFonts w:ascii="FangSong_GB2312" w:eastAsia="FangSong_GB2312"/>
          <w:sz w:val="32"/>
        </w:rPr>
      </w:pPr>
    </w:p>
    <w:p>
      <w:pPr>
        <w:rPr>
          <w:rFonts w:ascii="FangSong_GB2312" w:eastAsia="FangSong_GB2312"/>
          <w:sz w:val="32"/>
        </w:rPr>
      </w:pPr>
      <w:r>
        <w:rPr>
          <w:rFonts w:hint="eastAsia" w:ascii="FangSong_GB2312" w:eastAsia="FangSong_GB2312"/>
          <w:sz w:val="32"/>
        </w:rPr>
        <w:t>　　第八条</w:t>
      </w:r>
      <w:r>
        <w:rPr>
          <w:rFonts w:ascii="FangSong_GB2312" w:eastAsia="FangSong_GB2312"/>
          <w:sz w:val="32"/>
        </w:rPr>
        <w:t xml:space="preserve">  子基金管理机构应当符合以下要求：</w:t>
      </w:r>
    </w:p>
    <w:p>
      <w:pPr>
        <w:rPr>
          <w:rFonts w:ascii="FangSong_GB2312" w:eastAsia="FangSong_GB2312"/>
          <w:sz w:val="32"/>
        </w:rPr>
      </w:pPr>
    </w:p>
    <w:p>
      <w:pPr>
        <w:rPr>
          <w:rFonts w:ascii="FangSong_GB2312" w:eastAsia="FangSong_GB2312"/>
          <w:sz w:val="32"/>
        </w:rPr>
      </w:pPr>
      <w:r>
        <w:rPr>
          <w:rFonts w:hint="eastAsia" w:ascii="FangSong_GB2312" w:eastAsia="FangSong_GB2312"/>
          <w:sz w:val="32"/>
        </w:rPr>
        <w:t>　　（一）依法设立，公司治理、内控机制和管理制度健全有效，具有丰富的股权投资管理经验，历史业绩优秀，为投资基金配备专属且稳定的管理团队；</w:t>
      </w:r>
    </w:p>
    <w:p>
      <w:pPr>
        <w:rPr>
          <w:rFonts w:ascii="FangSong_GB2312" w:eastAsia="FangSong_GB2312"/>
          <w:sz w:val="32"/>
        </w:rPr>
      </w:pPr>
      <w:r>
        <w:rPr>
          <w:rFonts w:hint="eastAsia" w:ascii="FangSong_GB2312" w:eastAsia="FangSong_GB2312"/>
          <w:sz w:val="32"/>
        </w:rPr>
        <w:t>　　（二）有健全的激励约束机制、资产托管机制和风险隔离机制；</w:t>
      </w:r>
    </w:p>
    <w:p>
      <w:pPr>
        <w:rPr>
          <w:rFonts w:ascii="FangSong_GB2312" w:eastAsia="FangSong_GB2312"/>
          <w:sz w:val="32"/>
        </w:rPr>
      </w:pPr>
      <w:r>
        <w:rPr>
          <w:rFonts w:hint="eastAsia" w:ascii="FangSong_GB2312" w:eastAsia="FangSong_GB2312"/>
          <w:sz w:val="32"/>
        </w:rPr>
        <w:t>　　（三）接受经开公司涉及资金投资的质询，并根据经开公司需要报告有关情况。</w:t>
      </w:r>
    </w:p>
    <w:p>
      <w:pPr>
        <w:rPr>
          <w:rFonts w:ascii="FangSong_GB2312" w:eastAsia="FangSong_GB2312"/>
          <w:sz w:val="32"/>
        </w:rPr>
      </w:pPr>
    </w:p>
    <w:p>
      <w:pPr>
        <w:rPr>
          <w:rFonts w:ascii="FangSong_GB2312" w:eastAsia="FangSong_GB2312"/>
          <w:sz w:val="32"/>
        </w:rPr>
      </w:pPr>
      <w:r>
        <w:rPr>
          <w:rFonts w:hint="eastAsia" w:ascii="FangSong_GB2312" w:eastAsia="FangSong_GB2312"/>
          <w:sz w:val="32"/>
        </w:rPr>
        <w:t>　　第九条</w:t>
      </w:r>
      <w:r>
        <w:rPr>
          <w:rFonts w:ascii="FangSong_GB2312" w:eastAsia="FangSong_GB2312"/>
          <w:sz w:val="32"/>
        </w:rPr>
        <w:t xml:space="preserve">  子基金应当符合下列要求：</w:t>
      </w:r>
    </w:p>
    <w:p>
      <w:pPr>
        <w:rPr>
          <w:rFonts w:ascii="FangSong_GB2312" w:eastAsia="FangSong_GB2312"/>
          <w:sz w:val="32"/>
        </w:rPr>
      </w:pPr>
    </w:p>
    <w:p>
      <w:pPr>
        <w:rPr>
          <w:rFonts w:ascii="FangSong_GB2312" w:eastAsia="FangSong_GB2312"/>
          <w:sz w:val="32"/>
        </w:rPr>
      </w:pPr>
      <w:r>
        <w:rPr>
          <w:rFonts w:hint="eastAsia" w:ascii="FangSong_GB2312" w:eastAsia="FangSong_GB2312"/>
          <w:sz w:val="32"/>
        </w:rPr>
        <w:t>　　（一）子基金须在哈尔滨市注册；</w:t>
      </w:r>
    </w:p>
    <w:p>
      <w:pPr>
        <w:rPr>
          <w:rFonts w:ascii="FangSong_GB2312" w:eastAsia="FangSong_GB2312"/>
          <w:sz w:val="32"/>
        </w:rPr>
      </w:pPr>
      <w:r>
        <w:rPr>
          <w:rFonts w:hint="eastAsia" w:ascii="FangSong_GB2312" w:eastAsia="FangSong_GB2312"/>
          <w:sz w:val="32"/>
        </w:rPr>
        <w:t>　　（二）风险投资子基金投资于在哈尔滨市注册登记的企业，资金规模原则上不低于股权投资基金对子基金出资额的</w:t>
      </w:r>
      <w:r>
        <w:rPr>
          <w:rFonts w:ascii="FangSong_GB2312" w:eastAsia="FangSong_GB2312"/>
          <w:sz w:val="32"/>
        </w:rPr>
        <w:t>1.5倍。</w:t>
      </w:r>
    </w:p>
    <w:p>
      <w:pPr>
        <w:rPr>
          <w:rFonts w:ascii="FangSong_GB2312" w:eastAsia="FangSong_GB2312"/>
          <w:sz w:val="32"/>
        </w:rPr>
      </w:pPr>
      <w:r>
        <w:rPr>
          <w:rFonts w:hint="eastAsia" w:ascii="FangSong_GB2312" w:eastAsia="FangSong_GB2312"/>
          <w:sz w:val="32"/>
        </w:rPr>
        <w:t>　　（三）产业投资子基金投资于在哈尔滨市注册登记的企业，资金规模原则上不低于股权投资基金对子基金出资额的</w:t>
      </w:r>
      <w:r>
        <w:rPr>
          <w:rFonts w:ascii="FangSong_GB2312" w:eastAsia="FangSong_GB2312"/>
          <w:sz w:val="32"/>
        </w:rPr>
        <w:t>2倍。</w:t>
      </w:r>
    </w:p>
    <w:p>
      <w:pPr>
        <w:rPr>
          <w:rFonts w:ascii="FangSong_GB2312" w:eastAsia="FangSong_GB2312"/>
          <w:sz w:val="32"/>
        </w:rPr>
      </w:pPr>
      <w:r>
        <w:rPr>
          <w:rFonts w:hint="eastAsia" w:ascii="FangSong_GB2312" w:eastAsia="FangSong_GB2312"/>
          <w:sz w:val="32"/>
        </w:rPr>
        <w:t>　　（四）股权投资基金与其他投资人对子基金的出资应同步到位。原则上股权投资基金和其他社会投资人应按照投资协议，将认缴资金拨付子基金托管银行账户，共享收益，共担风险。</w:t>
      </w:r>
    </w:p>
    <w:p>
      <w:pPr>
        <w:rPr>
          <w:rFonts w:ascii="FangSong_GB2312" w:eastAsia="FangSong_GB2312"/>
          <w:sz w:val="32"/>
        </w:rPr>
      </w:pPr>
    </w:p>
    <w:p>
      <w:pPr>
        <w:rPr>
          <w:rFonts w:ascii="FangSong_GB2312" w:eastAsia="FangSong_GB2312"/>
          <w:sz w:val="32"/>
        </w:rPr>
      </w:pPr>
      <w:r>
        <w:rPr>
          <w:rFonts w:hint="eastAsia" w:ascii="FangSong_GB2312" w:eastAsia="FangSong_GB2312"/>
          <w:sz w:val="32"/>
        </w:rPr>
        <w:t>　　第十条</w:t>
      </w:r>
      <w:r>
        <w:rPr>
          <w:rFonts w:ascii="FangSong_GB2312" w:eastAsia="FangSong_GB2312"/>
          <w:sz w:val="32"/>
        </w:rPr>
        <w:t xml:space="preserve">  子基金采取市场化机制运作，依据章程或合伙协议等相关约定进行投资、管理和退出。经开公司向子基金派出代表，监督子基金的投资和运作，但不参与子基金的日常管理。子基金合伙协议或章程应约定，经开公司对子基金违反其投资承诺的投资项目享有一票否决权。</w:t>
      </w:r>
    </w:p>
    <w:p>
      <w:pPr>
        <w:rPr>
          <w:rFonts w:ascii="FangSong_GB2312" w:eastAsia="FangSong_GB2312"/>
          <w:sz w:val="32"/>
        </w:rPr>
      </w:pPr>
    </w:p>
    <w:p>
      <w:pPr>
        <w:rPr>
          <w:rFonts w:ascii="FangSong_GB2312" w:eastAsia="FangSong_GB2312"/>
          <w:sz w:val="32"/>
        </w:rPr>
      </w:pPr>
      <w:r>
        <w:rPr>
          <w:rFonts w:hint="eastAsia" w:ascii="FangSong_GB2312" w:eastAsia="FangSong_GB2312"/>
          <w:sz w:val="32"/>
        </w:rPr>
        <w:t>　　第三章</w:t>
      </w:r>
      <w:r>
        <w:rPr>
          <w:rFonts w:ascii="FangSong_GB2312" w:eastAsia="FangSong_GB2312"/>
          <w:sz w:val="32"/>
        </w:rPr>
        <w:t xml:space="preserve">  退出和收益分配</w:t>
      </w:r>
    </w:p>
    <w:p>
      <w:pPr>
        <w:rPr>
          <w:rFonts w:ascii="FangSong_GB2312" w:eastAsia="FangSong_GB2312"/>
          <w:sz w:val="32"/>
        </w:rPr>
      </w:pPr>
    </w:p>
    <w:p>
      <w:pPr>
        <w:rPr>
          <w:rFonts w:ascii="FangSong_GB2312" w:eastAsia="FangSong_GB2312"/>
          <w:sz w:val="32"/>
        </w:rPr>
      </w:pPr>
      <w:r>
        <w:rPr>
          <w:rFonts w:hint="eastAsia" w:ascii="FangSong_GB2312" w:eastAsia="FangSong_GB2312"/>
          <w:sz w:val="32"/>
        </w:rPr>
        <w:t>　　第十一条</w:t>
      </w:r>
      <w:r>
        <w:rPr>
          <w:rFonts w:ascii="FangSong_GB2312" w:eastAsia="FangSong_GB2312"/>
          <w:sz w:val="32"/>
        </w:rPr>
        <w:t xml:space="preserve">  有下列情况之一的，股权投资基金有权要求退出：</w:t>
      </w:r>
    </w:p>
    <w:p>
      <w:pPr>
        <w:rPr>
          <w:rFonts w:ascii="FangSong_GB2312" w:eastAsia="FangSong_GB2312"/>
          <w:sz w:val="32"/>
        </w:rPr>
      </w:pPr>
    </w:p>
    <w:p>
      <w:pPr>
        <w:rPr>
          <w:rFonts w:ascii="FangSong_GB2312" w:eastAsia="FangSong_GB2312"/>
          <w:sz w:val="32"/>
        </w:rPr>
      </w:pPr>
      <w:r>
        <w:rPr>
          <w:rFonts w:hint="eastAsia" w:ascii="FangSong_GB2312" w:eastAsia="FangSong_GB2312"/>
          <w:sz w:val="32"/>
        </w:rPr>
        <w:t>　　（一）投委会决议通过后，子基金首期资金未在</w:t>
      </w:r>
      <w:r>
        <w:rPr>
          <w:rFonts w:ascii="FangSong_GB2312" w:eastAsia="FangSong_GB2312"/>
          <w:sz w:val="32"/>
        </w:rPr>
        <w:t>1年内实际到位的；</w:t>
      </w:r>
    </w:p>
    <w:p>
      <w:pPr>
        <w:rPr>
          <w:rFonts w:ascii="FangSong_GB2312" w:eastAsia="FangSong_GB2312"/>
          <w:sz w:val="32"/>
        </w:rPr>
      </w:pPr>
      <w:r>
        <w:rPr>
          <w:rFonts w:hint="eastAsia" w:ascii="FangSong_GB2312" w:eastAsia="FangSong_GB2312"/>
          <w:sz w:val="32"/>
        </w:rPr>
        <w:t>　　（二）股权投资基金到位后，子基金</w:t>
      </w:r>
      <w:r>
        <w:rPr>
          <w:rFonts w:ascii="FangSong_GB2312" w:eastAsia="FangSong_GB2312"/>
          <w:sz w:val="32"/>
        </w:rPr>
        <w:t>1年内未开展股权投资业务的；</w:t>
      </w:r>
    </w:p>
    <w:p>
      <w:pPr>
        <w:rPr>
          <w:rFonts w:ascii="FangSong_GB2312" w:eastAsia="FangSong_GB2312"/>
          <w:sz w:val="32"/>
        </w:rPr>
      </w:pPr>
      <w:r>
        <w:rPr>
          <w:rFonts w:hint="eastAsia" w:ascii="FangSong_GB2312" w:eastAsia="FangSong_GB2312"/>
          <w:sz w:val="32"/>
        </w:rPr>
        <w:t>　　（三）子基金未按合伙协议或章程约定投资且未能有效整改的；</w:t>
      </w:r>
    </w:p>
    <w:p>
      <w:pPr>
        <w:rPr>
          <w:rFonts w:ascii="FangSong_GB2312" w:eastAsia="FangSong_GB2312"/>
          <w:sz w:val="32"/>
        </w:rPr>
      </w:pPr>
      <w:r>
        <w:rPr>
          <w:rFonts w:hint="eastAsia" w:ascii="FangSong_GB2312" w:eastAsia="FangSong_GB2312"/>
          <w:sz w:val="32"/>
        </w:rPr>
        <w:t>　　（四）子基金管理机构的主要股东（公司制）或普通合伙人（合伙制）发生实质性变化的；</w:t>
      </w:r>
    </w:p>
    <w:p>
      <w:pPr>
        <w:rPr>
          <w:rFonts w:ascii="FangSong_GB2312" w:eastAsia="FangSong_GB2312"/>
          <w:sz w:val="32"/>
        </w:rPr>
      </w:pPr>
      <w:r>
        <w:rPr>
          <w:rFonts w:hint="eastAsia" w:ascii="FangSong_GB2312" w:eastAsia="FangSong_GB2312"/>
          <w:sz w:val="32"/>
        </w:rPr>
        <w:t>　　（五）子基金管理团队核心成员半数（含）以上发生变化的。</w:t>
      </w:r>
    </w:p>
    <w:p>
      <w:pPr>
        <w:rPr>
          <w:rFonts w:ascii="FangSong_GB2312" w:eastAsia="FangSong_GB2312"/>
          <w:sz w:val="32"/>
        </w:rPr>
      </w:pPr>
    </w:p>
    <w:p>
      <w:pPr>
        <w:rPr>
          <w:rFonts w:ascii="FangSong_GB2312" w:eastAsia="FangSong_GB2312"/>
          <w:sz w:val="32"/>
        </w:rPr>
      </w:pPr>
      <w:r>
        <w:rPr>
          <w:rFonts w:hint="eastAsia" w:ascii="FangSong_GB2312" w:eastAsia="FangSong_GB2312"/>
          <w:sz w:val="32"/>
        </w:rPr>
        <w:t>　　出现上述情形导致股权投资基金退出的，子基金其他出资人应签署一切必要的文件或履行所有必要的程序以确保股权投资基金退出，退出价格按照子基金合伙协议或公司章程规定的方式计算，但原则上不得低于股权投资基金实缴出资本金及按同期人民银行贷款基准利率计算的利息之和，因股权投资基金退出而产生的风险和损失由子基金管理机构承担。</w:t>
      </w:r>
    </w:p>
    <w:p>
      <w:pPr>
        <w:rPr>
          <w:rFonts w:ascii="FangSong_GB2312" w:eastAsia="FangSong_GB2312"/>
          <w:sz w:val="32"/>
        </w:rPr>
      </w:pPr>
    </w:p>
    <w:p>
      <w:pPr>
        <w:rPr>
          <w:rFonts w:ascii="FangSong_GB2312" w:eastAsia="FangSong_GB2312"/>
          <w:sz w:val="32"/>
        </w:rPr>
      </w:pPr>
      <w:r>
        <w:rPr>
          <w:rFonts w:hint="eastAsia" w:ascii="FangSong_GB2312" w:eastAsia="FangSong_GB2312"/>
          <w:sz w:val="32"/>
        </w:rPr>
        <w:t>　　第十二条</w:t>
      </w:r>
      <w:r>
        <w:rPr>
          <w:rFonts w:ascii="FangSong_GB2312" w:eastAsia="FangSong_GB2312"/>
          <w:sz w:val="32"/>
        </w:rPr>
        <w:t xml:space="preserve">  子基金各出资人按照出资比例或相关协议约定获取投资收益。为更好地发挥股权投资基金引导作用，可以在保证股权投资基金本金收回的前提下，向其他出资人适度让利，但不得向其他出资人承诺本金不受损失和最低收益。</w:t>
      </w:r>
    </w:p>
    <w:p>
      <w:pPr>
        <w:rPr>
          <w:rFonts w:ascii="FangSong_GB2312" w:eastAsia="FangSong_GB2312"/>
          <w:sz w:val="32"/>
        </w:rPr>
      </w:pPr>
    </w:p>
    <w:p>
      <w:pPr>
        <w:rPr>
          <w:rFonts w:ascii="FangSong_GB2312" w:eastAsia="FangSong_GB2312"/>
          <w:sz w:val="32"/>
        </w:rPr>
      </w:pPr>
      <w:r>
        <w:rPr>
          <w:rFonts w:hint="eastAsia" w:ascii="FangSong_GB2312" w:eastAsia="FangSong_GB2312"/>
          <w:sz w:val="32"/>
        </w:rPr>
        <w:t>　　第十三条</w:t>
      </w:r>
      <w:r>
        <w:rPr>
          <w:rFonts w:ascii="FangSong_GB2312" w:eastAsia="FangSong_GB2312"/>
          <w:sz w:val="32"/>
        </w:rPr>
        <w:t xml:space="preserve">  子基金投资收益分配原则上采取整体“先回本后分利”方式，经投委会批准，也可采取按具体项目进行收益分配方式。</w:t>
      </w:r>
    </w:p>
    <w:p>
      <w:pPr>
        <w:rPr>
          <w:rFonts w:ascii="FangSong_GB2312" w:eastAsia="FangSong_GB2312"/>
          <w:sz w:val="32"/>
        </w:rPr>
      </w:pPr>
    </w:p>
    <w:p>
      <w:pPr>
        <w:rPr>
          <w:rFonts w:ascii="FangSong_GB2312" w:eastAsia="FangSong_GB2312"/>
          <w:sz w:val="32"/>
        </w:rPr>
      </w:pPr>
      <w:r>
        <w:rPr>
          <w:rFonts w:hint="eastAsia" w:ascii="FangSong_GB2312" w:eastAsia="FangSong_GB2312"/>
          <w:sz w:val="32"/>
        </w:rPr>
        <w:t>　　采取整体“先回本后分利”方式的，在基金清算时予以分配，投资收益先按照子基金各出资人实缴出资比例分配给各出资人，直至各出资人收回全部实缴出资，剩余的投资收益再按照子基金合伙协议、公司章程等约定的方式予以分配。</w:t>
      </w:r>
    </w:p>
    <w:p>
      <w:pPr>
        <w:rPr>
          <w:rFonts w:ascii="FangSong_GB2312" w:eastAsia="FangSong_GB2312"/>
          <w:sz w:val="32"/>
        </w:rPr>
      </w:pPr>
    </w:p>
    <w:p>
      <w:pPr>
        <w:rPr>
          <w:rFonts w:ascii="FangSong_GB2312" w:eastAsia="FangSong_GB2312"/>
          <w:sz w:val="32"/>
        </w:rPr>
      </w:pPr>
      <w:r>
        <w:rPr>
          <w:rFonts w:hint="eastAsia" w:ascii="FangSong_GB2312" w:eastAsia="FangSong_GB2312"/>
          <w:sz w:val="32"/>
        </w:rPr>
        <w:t>　　采取按具体项目进行收益分配方式的，子基金管理机构收取的利润分成应当设置相应的钩回机制。钩回机制是指子基金按单个项目分配时，子基金管理机构应将其获取的收益分成在分配时按一定比例（最低不低于</w:t>
      </w:r>
      <w:r>
        <w:rPr>
          <w:rFonts w:ascii="FangSong_GB2312" w:eastAsia="FangSong_GB2312"/>
          <w:sz w:val="32"/>
        </w:rPr>
        <w:t>50%）留存在子基金，待子基金清算时，确保其他出资人收回出资后再进行实际分配；若子基金其他出资人在子基金清算时不能收回出资，子基金管理机构应将其已获取的收益分成退回其他出资人，以弥补其他出资人的投资损失。</w:t>
      </w:r>
    </w:p>
    <w:p>
      <w:pPr>
        <w:rPr>
          <w:rFonts w:ascii="FangSong_GB2312" w:eastAsia="FangSong_GB2312"/>
          <w:sz w:val="32"/>
        </w:rPr>
      </w:pPr>
    </w:p>
    <w:p>
      <w:pPr>
        <w:rPr>
          <w:rFonts w:ascii="FangSong_GB2312" w:eastAsia="FangSong_GB2312"/>
          <w:sz w:val="32"/>
        </w:rPr>
      </w:pPr>
      <w:r>
        <w:rPr>
          <w:rFonts w:hint="eastAsia" w:ascii="FangSong_GB2312" w:eastAsia="FangSong_GB2312"/>
          <w:sz w:val="32"/>
        </w:rPr>
        <w:t>　　第十四条</w:t>
      </w:r>
      <w:r>
        <w:rPr>
          <w:rFonts w:ascii="FangSong_GB2312" w:eastAsia="FangSong_GB2312"/>
          <w:sz w:val="32"/>
        </w:rPr>
        <w:t xml:space="preserve">  子基金合伙协议或章程应当约定：子基金清算出现亏损时，首先由子基金管理机构在基金中的出资承担，不足部分再由子基金各出资人按投资比例承担，但股权投资基金承担亏损金额以其出资额为上限。</w:t>
      </w:r>
    </w:p>
    <w:p>
      <w:pPr>
        <w:rPr>
          <w:rFonts w:ascii="FangSong_GB2312" w:eastAsia="FangSong_GB2312"/>
          <w:sz w:val="32"/>
        </w:rPr>
      </w:pPr>
    </w:p>
    <w:p>
      <w:pPr>
        <w:rPr>
          <w:rFonts w:ascii="FangSong_GB2312" w:eastAsia="FangSong_GB2312"/>
          <w:sz w:val="32"/>
        </w:rPr>
      </w:pPr>
      <w:r>
        <w:rPr>
          <w:rFonts w:hint="eastAsia" w:ascii="FangSong_GB2312" w:eastAsia="FangSong_GB2312"/>
          <w:sz w:val="32"/>
        </w:rPr>
        <w:t>　　第四章</w:t>
      </w:r>
      <w:r>
        <w:rPr>
          <w:rFonts w:ascii="FangSong_GB2312" w:eastAsia="FangSong_GB2312"/>
          <w:sz w:val="32"/>
        </w:rPr>
        <w:t xml:space="preserve">  激励措施和监督管理</w:t>
      </w:r>
    </w:p>
    <w:p>
      <w:pPr>
        <w:rPr>
          <w:rFonts w:ascii="FangSong_GB2312" w:eastAsia="FangSong_GB2312"/>
          <w:sz w:val="32"/>
        </w:rPr>
      </w:pPr>
    </w:p>
    <w:p>
      <w:pPr>
        <w:rPr>
          <w:rFonts w:ascii="FangSong_GB2312" w:eastAsia="FangSong_GB2312"/>
          <w:sz w:val="32"/>
        </w:rPr>
      </w:pPr>
      <w:r>
        <w:rPr>
          <w:rFonts w:hint="eastAsia" w:ascii="FangSong_GB2312" w:eastAsia="FangSong_GB2312"/>
          <w:sz w:val="32"/>
        </w:rPr>
        <w:t>　　第十五条</w:t>
      </w:r>
      <w:r>
        <w:rPr>
          <w:rFonts w:ascii="FangSong_GB2312" w:eastAsia="FangSong_GB2312"/>
          <w:sz w:val="32"/>
        </w:rPr>
        <w:t xml:space="preserve">  子基金到期清算时，在其投资于哈尔滨市注册登记企业的资金超过股权投资基金出资额2倍，且股权投资基金收回全部出资本金收益的，经投委会审议通过后，可按照如下比例进行让利，但最高让利金额不超过股权投资基金获得的全部收益：</w:t>
      </w:r>
    </w:p>
    <w:p>
      <w:pPr>
        <w:rPr>
          <w:rFonts w:ascii="FangSong_GB2312" w:eastAsia="FangSong_GB2312"/>
          <w:sz w:val="32"/>
        </w:rPr>
      </w:pPr>
    </w:p>
    <w:p>
      <w:pPr>
        <w:rPr>
          <w:rFonts w:ascii="FangSong_GB2312" w:eastAsia="FangSong_GB2312"/>
          <w:sz w:val="32"/>
        </w:rPr>
      </w:pPr>
      <w:r>
        <w:rPr>
          <w:rFonts w:hint="eastAsia" w:ascii="FangSong_GB2312" w:eastAsia="FangSong_GB2312"/>
          <w:sz w:val="32"/>
        </w:rPr>
        <w:t>　　（一）对风险投资子基金投资于在哈尔滨市注册的企业产生的收益，按归属于股权投资基金部分的</w:t>
      </w:r>
      <w:r>
        <w:rPr>
          <w:rFonts w:ascii="FangSong_GB2312" w:eastAsia="FangSong_GB2312"/>
          <w:sz w:val="32"/>
        </w:rPr>
        <w:t>80%进行让利。</w:t>
      </w:r>
    </w:p>
    <w:p>
      <w:pPr>
        <w:rPr>
          <w:rFonts w:ascii="FangSong_GB2312" w:eastAsia="FangSong_GB2312"/>
          <w:sz w:val="32"/>
        </w:rPr>
      </w:pPr>
      <w:r>
        <w:rPr>
          <w:rFonts w:hint="eastAsia" w:ascii="FangSong_GB2312" w:eastAsia="FangSong_GB2312"/>
          <w:sz w:val="32"/>
        </w:rPr>
        <w:t>　　（二）对产业投资子基金投资于在哈尔滨市注册的企业产生的收益，按归属于股权投资基金部分的</w:t>
      </w:r>
      <w:r>
        <w:rPr>
          <w:rFonts w:ascii="FangSong_GB2312" w:eastAsia="FangSong_GB2312"/>
          <w:sz w:val="32"/>
        </w:rPr>
        <w:t>50%进行让利。</w:t>
      </w:r>
    </w:p>
    <w:p>
      <w:pPr>
        <w:rPr>
          <w:rFonts w:ascii="FangSong_GB2312" w:eastAsia="FangSong_GB2312"/>
          <w:sz w:val="32"/>
        </w:rPr>
      </w:pPr>
    </w:p>
    <w:p>
      <w:pPr>
        <w:rPr>
          <w:rFonts w:ascii="FangSong_GB2312" w:eastAsia="FangSong_GB2312"/>
          <w:sz w:val="32"/>
        </w:rPr>
      </w:pPr>
      <w:r>
        <w:rPr>
          <w:rFonts w:hint="eastAsia" w:ascii="FangSong_GB2312" w:eastAsia="FangSong_GB2312"/>
          <w:sz w:val="32"/>
        </w:rPr>
        <w:t>　　股权投资基金让利的对象包括子基金管理机构和其他出资人，让利比例应在子基金合伙协议、公司章程中明确约定。原则上子基金管理机构取得让利金额占总让利金额的比例不低于</w:t>
      </w:r>
      <w:r>
        <w:rPr>
          <w:rFonts w:ascii="FangSong_GB2312" w:eastAsia="FangSong_GB2312"/>
          <w:sz w:val="32"/>
        </w:rPr>
        <w:t>20%。</w:t>
      </w:r>
    </w:p>
    <w:p>
      <w:pPr>
        <w:rPr>
          <w:rFonts w:ascii="FangSong_GB2312" w:eastAsia="FangSong_GB2312"/>
          <w:sz w:val="32"/>
        </w:rPr>
      </w:pPr>
    </w:p>
    <w:p>
      <w:pPr>
        <w:rPr>
          <w:rFonts w:ascii="FangSong_GB2312" w:eastAsia="FangSong_GB2312"/>
          <w:sz w:val="32"/>
        </w:rPr>
      </w:pPr>
      <w:r>
        <w:rPr>
          <w:rFonts w:hint="eastAsia" w:ascii="FangSong_GB2312" w:eastAsia="FangSong_GB2312"/>
          <w:sz w:val="32"/>
        </w:rPr>
        <w:t>　　第十六条</w:t>
      </w:r>
      <w:r>
        <w:rPr>
          <w:rFonts w:ascii="FangSong_GB2312" w:eastAsia="FangSong_GB2312"/>
          <w:sz w:val="32"/>
        </w:rPr>
        <w:t xml:space="preserve">  经开公司应对股权投资基金实行专户管理，专款专用，专账核算。</w:t>
      </w:r>
    </w:p>
    <w:p>
      <w:pPr>
        <w:rPr>
          <w:rFonts w:ascii="FangSong_GB2312" w:eastAsia="FangSong_GB2312"/>
          <w:sz w:val="32"/>
        </w:rPr>
      </w:pPr>
    </w:p>
    <w:p>
      <w:pPr>
        <w:rPr>
          <w:rFonts w:ascii="FangSong_GB2312" w:eastAsia="FangSong_GB2312"/>
          <w:sz w:val="32"/>
        </w:rPr>
      </w:pPr>
      <w:r>
        <w:rPr>
          <w:rFonts w:hint="eastAsia" w:ascii="FangSong_GB2312" w:eastAsia="FangSong_GB2312"/>
          <w:sz w:val="32"/>
        </w:rPr>
        <w:t>　　第十七条</w:t>
      </w:r>
      <w:r>
        <w:rPr>
          <w:rFonts w:ascii="FangSong_GB2312" w:eastAsia="FangSong_GB2312"/>
          <w:sz w:val="32"/>
        </w:rPr>
        <w:t xml:space="preserve">  投委会办公室按年核定经开公司履行股权投资管理职责的经费，主要包括尽职调查、股权评估、专业评审、审计、培训、人员费用、会务、劳务等支出，最高不超过实际股权投资金额的2%。管理经费从股权投资基金专户中列支。</w:t>
      </w:r>
    </w:p>
    <w:p>
      <w:pPr>
        <w:rPr>
          <w:rFonts w:ascii="FangSong_GB2312" w:eastAsia="FangSong_GB2312"/>
          <w:sz w:val="32"/>
        </w:rPr>
      </w:pPr>
    </w:p>
    <w:p>
      <w:pPr>
        <w:rPr>
          <w:rFonts w:ascii="FangSong_GB2312" w:eastAsia="FangSong_GB2312"/>
          <w:sz w:val="32"/>
        </w:rPr>
      </w:pPr>
      <w:r>
        <w:rPr>
          <w:rFonts w:hint="eastAsia" w:ascii="FangSong_GB2312" w:eastAsia="FangSong_GB2312"/>
          <w:sz w:val="32"/>
        </w:rPr>
        <w:t>　　第十八条</w:t>
      </w:r>
      <w:r>
        <w:rPr>
          <w:rFonts w:ascii="FangSong_GB2312" w:eastAsia="FangSong_GB2312"/>
          <w:sz w:val="32"/>
        </w:rPr>
        <w:t xml:space="preserve">  股权投资基金收益扣除经开公司管理费的净收益，留存股权投资基金滚动发展。股权投资基金专户中尚未投资的资金，经市政府批准，市财政有权调度和使用。</w:t>
      </w:r>
    </w:p>
    <w:p>
      <w:pPr>
        <w:rPr>
          <w:rFonts w:ascii="FangSong_GB2312" w:eastAsia="FangSong_GB2312"/>
          <w:sz w:val="32"/>
        </w:rPr>
      </w:pPr>
    </w:p>
    <w:p>
      <w:pPr>
        <w:rPr>
          <w:rFonts w:ascii="FangSong_GB2312" w:eastAsia="FangSong_GB2312"/>
          <w:sz w:val="32"/>
        </w:rPr>
      </w:pPr>
      <w:r>
        <w:rPr>
          <w:rFonts w:hint="eastAsia" w:ascii="FangSong_GB2312" w:eastAsia="FangSong_GB2312"/>
          <w:sz w:val="32"/>
        </w:rPr>
        <w:t>　　第五章</w:t>
      </w:r>
      <w:r>
        <w:rPr>
          <w:rFonts w:ascii="FangSong_GB2312" w:eastAsia="FangSong_GB2312"/>
          <w:sz w:val="32"/>
        </w:rPr>
        <w:t xml:space="preserve">  附  则</w:t>
      </w:r>
    </w:p>
    <w:p>
      <w:pPr>
        <w:rPr>
          <w:rFonts w:ascii="FangSong_GB2312" w:eastAsia="FangSong_GB2312"/>
          <w:sz w:val="32"/>
        </w:rPr>
      </w:pPr>
    </w:p>
    <w:p>
      <w:pPr>
        <w:ind w:firstLine="645"/>
        <w:rPr>
          <w:rFonts w:ascii="FangSong_GB2312" w:eastAsia="FangSong_GB2312"/>
          <w:sz w:val="32"/>
        </w:rPr>
      </w:pPr>
      <w:r>
        <w:rPr>
          <w:rFonts w:hint="eastAsia" w:ascii="FangSong_GB2312" w:eastAsia="FangSong_GB2312"/>
          <w:sz w:val="32"/>
        </w:rPr>
        <w:t>第十九条</w:t>
      </w:r>
      <w:r>
        <w:rPr>
          <w:rFonts w:ascii="FangSong_GB2312" w:eastAsia="FangSong_GB2312"/>
          <w:sz w:val="32"/>
        </w:rPr>
        <w:t xml:space="preserve">  本办法自发布之日起施行，有效期2年。</w:t>
      </w:r>
    </w:p>
    <w:p>
      <w:pPr>
        <w:rPr>
          <w:rFonts w:ascii="FangSong_GB2312" w:hAnsi="宋体" w:eastAsia="FangSong_GB2312"/>
          <w:sz w:val="32"/>
          <w:szCs w:val="32"/>
        </w:rPr>
      </w:pPr>
      <w:r>
        <w:rPr>
          <w:rFonts w:hint="eastAsia" w:ascii="FangSong_GB2312" w:hAnsi="宋体" w:eastAsia="FangSong_GB2312"/>
          <w:sz w:val="32"/>
          <w:szCs w:val="32"/>
        </w:rPr>
        <w:t>附件</w:t>
      </w:r>
      <w:r>
        <w:rPr>
          <w:rFonts w:ascii="FangSong_GB2312" w:hAnsi="宋体" w:eastAsia="FangSong_GB2312"/>
          <w:sz w:val="32"/>
          <w:szCs w:val="32"/>
        </w:rPr>
        <w:t>2</w:t>
      </w:r>
    </w:p>
    <w:p>
      <w:pPr>
        <w:spacing w:line="360" w:lineRule="auto"/>
        <w:jc w:val="center"/>
        <w:rPr>
          <w:rFonts w:hint="eastAsia" w:ascii="新宋体" w:hAnsi="新宋体" w:eastAsia="新宋体"/>
          <w:b/>
          <w:sz w:val="44"/>
          <w:szCs w:val="44"/>
        </w:rPr>
      </w:pPr>
    </w:p>
    <w:p>
      <w:pPr>
        <w:spacing w:line="360" w:lineRule="auto"/>
        <w:jc w:val="center"/>
        <w:rPr>
          <w:rFonts w:ascii="新宋体" w:hAnsi="新宋体" w:eastAsia="新宋体"/>
          <w:b/>
          <w:sz w:val="44"/>
          <w:szCs w:val="44"/>
        </w:rPr>
      </w:pPr>
      <w:r>
        <w:rPr>
          <w:rFonts w:hint="eastAsia" w:ascii="新宋体" w:hAnsi="新宋体" w:eastAsia="新宋体"/>
          <w:b/>
          <w:sz w:val="44"/>
          <w:szCs w:val="44"/>
        </w:rPr>
        <w:t>哈尔滨市市级财政专项资金股权投资基金</w:t>
      </w:r>
    </w:p>
    <w:p>
      <w:pPr>
        <w:spacing w:line="360" w:lineRule="auto"/>
        <w:jc w:val="center"/>
        <w:rPr>
          <w:rFonts w:ascii="宋体"/>
          <w:b/>
          <w:sz w:val="44"/>
          <w:szCs w:val="44"/>
        </w:rPr>
      </w:pPr>
    </w:p>
    <w:p>
      <w:pPr>
        <w:spacing w:line="360" w:lineRule="auto"/>
        <w:jc w:val="center"/>
        <w:rPr>
          <w:rFonts w:ascii="宋体"/>
          <w:b/>
          <w:sz w:val="52"/>
          <w:szCs w:val="44"/>
        </w:rPr>
      </w:pPr>
      <w:r>
        <w:rPr>
          <w:rFonts w:hint="eastAsia" w:ascii="宋体" w:hAnsi="宋体"/>
          <w:b/>
          <w:sz w:val="52"/>
          <w:szCs w:val="44"/>
        </w:rPr>
        <w:t>申</w:t>
      </w:r>
    </w:p>
    <w:p>
      <w:pPr>
        <w:spacing w:line="360" w:lineRule="auto"/>
        <w:jc w:val="center"/>
        <w:rPr>
          <w:rFonts w:ascii="宋体"/>
          <w:b/>
          <w:sz w:val="52"/>
          <w:szCs w:val="44"/>
        </w:rPr>
      </w:pPr>
      <w:r>
        <w:rPr>
          <w:rFonts w:hint="eastAsia" w:ascii="宋体" w:hAnsi="宋体"/>
          <w:b/>
          <w:sz w:val="52"/>
          <w:szCs w:val="44"/>
        </w:rPr>
        <w:t>请</w:t>
      </w:r>
    </w:p>
    <w:p>
      <w:pPr>
        <w:spacing w:line="360" w:lineRule="auto"/>
        <w:jc w:val="center"/>
        <w:rPr>
          <w:rFonts w:ascii="宋体"/>
          <w:b/>
          <w:sz w:val="52"/>
          <w:szCs w:val="44"/>
        </w:rPr>
      </w:pPr>
      <w:r>
        <w:rPr>
          <w:rFonts w:hint="eastAsia" w:ascii="宋体" w:hAnsi="宋体"/>
          <w:b/>
          <w:sz w:val="52"/>
          <w:szCs w:val="44"/>
        </w:rPr>
        <w:t>材</w:t>
      </w:r>
    </w:p>
    <w:p>
      <w:pPr>
        <w:spacing w:line="360" w:lineRule="auto"/>
        <w:jc w:val="center"/>
        <w:rPr>
          <w:rFonts w:ascii="宋体"/>
          <w:b/>
          <w:sz w:val="52"/>
          <w:szCs w:val="44"/>
        </w:rPr>
      </w:pPr>
      <w:r>
        <w:rPr>
          <w:rFonts w:hint="eastAsia" w:ascii="宋体" w:hAnsi="宋体"/>
          <w:b/>
          <w:sz w:val="52"/>
          <w:szCs w:val="44"/>
        </w:rPr>
        <w:t>料</w:t>
      </w:r>
    </w:p>
    <w:p/>
    <w:p/>
    <w:p/>
    <w:p/>
    <w:p/>
    <w:p>
      <w:pPr>
        <w:rPr>
          <w:rFonts w:ascii="宋体"/>
          <w:sz w:val="28"/>
        </w:rPr>
      </w:pPr>
    </w:p>
    <w:p>
      <w:pPr>
        <w:rPr>
          <w:rFonts w:ascii="宋体"/>
          <w:sz w:val="28"/>
        </w:rPr>
      </w:pPr>
    </w:p>
    <w:p>
      <w:pPr>
        <w:ind w:firstLine="2221" w:firstLineChars="790"/>
        <w:rPr>
          <w:rFonts w:ascii="宋体"/>
          <w:b/>
          <w:sz w:val="28"/>
          <w:u w:val="single"/>
        </w:rPr>
      </w:pPr>
      <w:r>
        <w:rPr>
          <w:rFonts w:hint="eastAsia" w:ascii="宋体" w:hAnsi="宋体"/>
          <w:b/>
          <w:sz w:val="28"/>
        </w:rPr>
        <w:t>申请机构：</w:t>
      </w:r>
      <w:r>
        <w:rPr>
          <w:rFonts w:ascii="宋体" w:hAnsi="宋体"/>
          <w:b/>
          <w:sz w:val="28"/>
          <w:u w:val="single"/>
        </w:rPr>
        <w:t xml:space="preserve">      XXX</w:t>
      </w:r>
      <w:r>
        <w:rPr>
          <w:rFonts w:hint="eastAsia" w:ascii="宋体" w:hAnsi="宋体"/>
          <w:b/>
          <w:sz w:val="28"/>
          <w:u w:val="single"/>
        </w:rPr>
        <w:t>公司</w:t>
      </w:r>
    </w:p>
    <w:p>
      <w:pPr>
        <w:ind w:firstLine="2221" w:firstLineChars="790"/>
        <w:rPr>
          <w:rFonts w:ascii="宋体"/>
          <w:b/>
          <w:sz w:val="28"/>
        </w:rPr>
      </w:pPr>
      <w:r>
        <w:rPr>
          <w:rFonts w:hint="eastAsia" w:ascii="宋体" w:hAnsi="宋体"/>
          <w:b/>
          <w:sz w:val="28"/>
        </w:rPr>
        <w:t>（盖章）</w:t>
      </w:r>
    </w:p>
    <w:p>
      <w:pPr>
        <w:ind w:firstLine="2221" w:firstLineChars="790"/>
        <w:rPr>
          <w:rFonts w:ascii="宋体"/>
          <w:b/>
          <w:sz w:val="28"/>
          <w:u w:val="single"/>
        </w:rPr>
      </w:pPr>
      <w:r>
        <w:rPr>
          <w:rFonts w:hint="eastAsia" w:ascii="宋体" w:hAnsi="宋体"/>
          <w:b/>
          <w:sz w:val="28"/>
        </w:rPr>
        <w:t>申请日期：</w:t>
      </w:r>
      <w:r>
        <w:rPr>
          <w:rFonts w:ascii="宋体" w:hAnsi="宋体"/>
          <w:b/>
          <w:sz w:val="28"/>
          <w:u w:val="single"/>
        </w:rPr>
        <w:t>201</w:t>
      </w:r>
      <w:r>
        <w:rPr>
          <w:rFonts w:hint="eastAsia" w:ascii="宋体" w:hAnsi="宋体"/>
          <w:b/>
          <w:sz w:val="28"/>
          <w:u w:val="single"/>
        </w:rPr>
        <w:t>7年</w:t>
      </w:r>
      <w:r>
        <w:rPr>
          <w:rFonts w:ascii="宋体" w:hAnsi="宋体"/>
          <w:b/>
          <w:sz w:val="28"/>
          <w:u w:val="single"/>
        </w:rPr>
        <w:t>X</w:t>
      </w:r>
      <w:r>
        <w:rPr>
          <w:rFonts w:hint="eastAsia" w:ascii="宋体" w:hAnsi="宋体"/>
          <w:b/>
          <w:sz w:val="28"/>
          <w:u w:val="single"/>
        </w:rPr>
        <w:t>月</w:t>
      </w:r>
      <w:r>
        <w:rPr>
          <w:rFonts w:ascii="宋体" w:hAnsi="宋体"/>
          <w:b/>
          <w:sz w:val="28"/>
          <w:u w:val="single"/>
        </w:rPr>
        <w:t>X</w:t>
      </w:r>
      <w:r>
        <w:rPr>
          <w:rFonts w:hint="eastAsia" w:ascii="宋体" w:hAnsi="宋体"/>
          <w:b/>
          <w:sz w:val="28"/>
          <w:u w:val="single"/>
        </w:rPr>
        <w:t>日</w:t>
      </w:r>
    </w:p>
    <w:p>
      <w:pPr>
        <w:rPr>
          <w:rFonts w:ascii="文星简仿宋" w:hAnsi="宋体" w:eastAsia="文星简仿宋" w:cs="宋体"/>
          <w:sz w:val="24"/>
        </w:rPr>
      </w:pPr>
      <w:r>
        <w:rPr>
          <w:rFonts w:ascii="文星简仿宋" w:hAnsi="宋体" w:eastAsia="文星简仿宋" w:cs="宋体"/>
          <w:sz w:val="32"/>
          <w:szCs w:val="44"/>
        </w:rPr>
        <w:br w:type="page"/>
      </w:r>
    </w:p>
    <w:p>
      <w:pPr>
        <w:rPr>
          <w:rFonts w:ascii="FangSong_GB2312" w:hAnsi="宋体" w:eastAsia="FangSong_GB2312"/>
          <w:sz w:val="32"/>
          <w:szCs w:val="32"/>
        </w:rPr>
      </w:pPr>
      <w:r>
        <w:rPr>
          <w:rFonts w:hint="eastAsia" w:ascii="FangSong_GB2312" w:hAnsi="宋体" w:eastAsia="FangSong_GB2312"/>
          <w:sz w:val="32"/>
          <w:szCs w:val="32"/>
        </w:rPr>
        <w:t>附件3</w:t>
      </w:r>
    </w:p>
    <w:p>
      <w:pPr>
        <w:widowControl/>
        <w:jc w:val="center"/>
        <w:rPr>
          <w:rFonts w:hint="eastAsia" w:ascii="宋体" w:hAnsi="宋体" w:cs="宋体"/>
          <w:b/>
          <w:sz w:val="36"/>
          <w:szCs w:val="36"/>
        </w:rPr>
      </w:pPr>
      <w:r>
        <w:rPr>
          <w:rFonts w:hint="eastAsia" w:ascii="宋体" w:hAnsi="宋体" w:cs="宋体"/>
          <w:b/>
          <w:sz w:val="36"/>
          <w:szCs w:val="36"/>
        </w:rPr>
        <w:t>哈尔滨市市级财政专项资金股权投资基金</w:t>
      </w:r>
    </w:p>
    <w:tbl>
      <w:tblPr>
        <w:tblStyle w:val="3"/>
        <w:tblpPr w:leftFromText="180" w:rightFromText="180" w:vertAnchor="page" w:horzAnchor="page" w:tblpX="1259" w:tblpY="3338"/>
        <w:tblW w:w="9704" w:type="dxa"/>
        <w:tblInd w:w="0" w:type="dxa"/>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fixed"/>
        <w:tblCellMar>
          <w:top w:w="0" w:type="dxa"/>
          <w:left w:w="108" w:type="dxa"/>
          <w:bottom w:w="0" w:type="dxa"/>
          <w:right w:w="108" w:type="dxa"/>
        </w:tblCellMar>
      </w:tblPr>
      <w:tblGrid>
        <w:gridCol w:w="1544"/>
        <w:gridCol w:w="1567"/>
        <w:gridCol w:w="1533"/>
        <w:gridCol w:w="993"/>
        <w:gridCol w:w="309"/>
        <w:gridCol w:w="1033"/>
        <w:gridCol w:w="656"/>
        <w:gridCol w:w="2069"/>
      </w:tblGrid>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406" w:hRule="atLeast"/>
        </w:trPr>
        <w:tc>
          <w:tcPr>
            <w:tcW w:w="9704" w:type="dxa"/>
            <w:gridSpan w:val="8"/>
            <w:vAlign w:val="center"/>
          </w:tcPr>
          <w:p>
            <w:pPr>
              <w:rPr>
                <w:rFonts w:ascii="黑体" w:hAnsi="黑体" w:eastAsia="黑体"/>
                <w:sz w:val="24"/>
              </w:rPr>
            </w:pPr>
            <w:r>
              <w:rPr>
                <w:rFonts w:hint="eastAsia" w:ascii="黑体" w:hAnsi="黑体" w:eastAsia="黑体"/>
                <w:sz w:val="24"/>
              </w:rPr>
              <w:t>一、申请机构</w:t>
            </w: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679" w:hRule="atLeast"/>
        </w:trPr>
        <w:tc>
          <w:tcPr>
            <w:tcW w:w="1544" w:type="dxa"/>
            <w:tcBorders>
              <w:right w:val="single" w:color="auto" w:sz="6" w:space="0"/>
            </w:tcBorders>
            <w:vAlign w:val="center"/>
          </w:tcPr>
          <w:p>
            <w:pPr>
              <w:rPr>
                <w:rFonts w:ascii="FangSong_GB2312" w:eastAsia="FangSong_GB2312"/>
                <w:sz w:val="24"/>
              </w:rPr>
            </w:pPr>
            <w:r>
              <w:rPr>
                <w:rFonts w:hint="eastAsia" w:ascii="FangSong_GB2312" w:eastAsia="FangSong_GB2312"/>
                <w:sz w:val="24"/>
              </w:rPr>
              <w:t>机构名称</w:t>
            </w:r>
          </w:p>
        </w:tc>
        <w:tc>
          <w:tcPr>
            <w:tcW w:w="5435" w:type="dxa"/>
            <w:gridSpan w:val="5"/>
            <w:tcBorders>
              <w:left w:val="single" w:color="auto" w:sz="6" w:space="0"/>
              <w:right w:val="single" w:color="auto" w:sz="6" w:space="0"/>
            </w:tcBorders>
            <w:vAlign w:val="center"/>
          </w:tcPr>
          <w:p>
            <w:pPr>
              <w:rPr>
                <w:rFonts w:ascii="FangSong_GB2312" w:eastAsia="FangSong_GB2312"/>
                <w:sz w:val="24"/>
              </w:rPr>
            </w:pPr>
          </w:p>
        </w:tc>
        <w:tc>
          <w:tcPr>
            <w:tcW w:w="2725" w:type="dxa"/>
            <w:gridSpan w:val="2"/>
            <w:tcBorders>
              <w:left w:val="single" w:color="auto" w:sz="6" w:space="0"/>
            </w:tcBorders>
            <w:vAlign w:val="center"/>
          </w:tcPr>
          <w:p>
            <w:pPr>
              <w:rPr>
                <w:rFonts w:ascii="FangSong_GB2312" w:eastAsia="FangSong_GB2312"/>
                <w:sz w:val="24"/>
              </w:rPr>
            </w:pPr>
            <w:r>
              <w:rPr>
                <w:rFonts w:hint="eastAsia" w:ascii="FangSong_GB2312" w:eastAsia="FangSong_GB2312"/>
                <w:sz w:val="24"/>
              </w:rPr>
              <w:t>□投资企业</w:t>
            </w:r>
          </w:p>
          <w:p>
            <w:pPr>
              <w:rPr>
                <w:rFonts w:ascii="FangSong_GB2312" w:eastAsia="FangSong_GB2312"/>
                <w:sz w:val="24"/>
              </w:rPr>
            </w:pPr>
            <w:r>
              <w:rPr>
                <w:rFonts w:hint="eastAsia" w:ascii="FangSong_GB2312" w:eastAsia="FangSong_GB2312"/>
                <w:sz w:val="24"/>
              </w:rPr>
              <w:t>□股权投资管理机构</w:t>
            </w: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638" w:hRule="atLeast"/>
        </w:trPr>
        <w:tc>
          <w:tcPr>
            <w:tcW w:w="1544" w:type="dxa"/>
            <w:tcBorders>
              <w:right w:val="single" w:color="auto" w:sz="6" w:space="0"/>
            </w:tcBorders>
            <w:vAlign w:val="center"/>
          </w:tcPr>
          <w:p>
            <w:pPr>
              <w:rPr>
                <w:rFonts w:ascii="FangSong_GB2312" w:eastAsia="FangSong_GB2312"/>
                <w:color w:val="000000"/>
                <w:sz w:val="24"/>
              </w:rPr>
            </w:pPr>
            <w:r>
              <w:rPr>
                <w:rFonts w:hint="eastAsia" w:ascii="FangSong_GB2312" w:eastAsia="FangSong_GB2312"/>
                <w:color w:val="000000"/>
                <w:sz w:val="24"/>
              </w:rPr>
              <w:t>注册地址</w:t>
            </w:r>
          </w:p>
        </w:tc>
        <w:tc>
          <w:tcPr>
            <w:tcW w:w="4093" w:type="dxa"/>
            <w:gridSpan w:val="3"/>
            <w:tcBorders>
              <w:left w:val="single" w:color="auto" w:sz="6" w:space="0"/>
              <w:right w:val="single" w:color="auto" w:sz="6" w:space="0"/>
            </w:tcBorders>
            <w:vAlign w:val="center"/>
          </w:tcPr>
          <w:p>
            <w:pPr>
              <w:rPr>
                <w:rFonts w:ascii="FangSong_GB2312" w:eastAsia="FangSong_GB2312"/>
                <w:color w:val="000000"/>
                <w:sz w:val="24"/>
              </w:rPr>
            </w:pPr>
          </w:p>
        </w:tc>
        <w:tc>
          <w:tcPr>
            <w:tcW w:w="1998" w:type="dxa"/>
            <w:gridSpan w:val="3"/>
            <w:tcBorders>
              <w:left w:val="single" w:color="auto" w:sz="6" w:space="0"/>
              <w:right w:val="single" w:color="auto" w:sz="6" w:space="0"/>
            </w:tcBorders>
            <w:vAlign w:val="center"/>
          </w:tcPr>
          <w:p>
            <w:pPr>
              <w:rPr>
                <w:rFonts w:ascii="FangSong_GB2312" w:eastAsia="FangSong_GB2312"/>
                <w:color w:val="000000"/>
                <w:sz w:val="24"/>
              </w:rPr>
            </w:pPr>
            <w:r>
              <w:rPr>
                <w:rFonts w:hint="eastAsia" w:ascii="FangSong_GB2312" w:eastAsia="FangSong_GB2312"/>
                <w:color w:val="000000"/>
                <w:sz w:val="24"/>
              </w:rPr>
              <w:t>法定代表人</w:t>
            </w:r>
            <w:r>
              <w:rPr>
                <w:rFonts w:ascii="FangSong_GB2312" w:eastAsia="FangSong_GB2312"/>
                <w:color w:val="000000"/>
                <w:sz w:val="24"/>
              </w:rPr>
              <w:t>/</w:t>
            </w:r>
            <w:r>
              <w:rPr>
                <w:rFonts w:hint="eastAsia" w:ascii="FangSong_GB2312" w:eastAsia="FangSong_GB2312"/>
                <w:color w:val="000000"/>
                <w:sz w:val="24"/>
              </w:rPr>
              <w:t>执行事务合伙人</w:t>
            </w:r>
          </w:p>
        </w:tc>
        <w:tc>
          <w:tcPr>
            <w:tcW w:w="2069" w:type="dxa"/>
            <w:tcBorders>
              <w:left w:val="single" w:color="auto" w:sz="6" w:space="0"/>
            </w:tcBorders>
            <w:vAlign w:val="center"/>
          </w:tcPr>
          <w:p>
            <w:pPr>
              <w:rPr>
                <w:rFonts w:ascii="FangSong_GB2312" w:eastAsia="FangSong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714" w:hRule="atLeast"/>
        </w:trPr>
        <w:tc>
          <w:tcPr>
            <w:tcW w:w="1544" w:type="dxa"/>
            <w:tcBorders>
              <w:right w:val="single" w:color="auto" w:sz="6" w:space="0"/>
            </w:tcBorders>
            <w:vAlign w:val="center"/>
          </w:tcPr>
          <w:p>
            <w:pPr>
              <w:rPr>
                <w:rFonts w:ascii="FangSong_GB2312" w:eastAsia="FangSong_GB2312"/>
                <w:color w:val="000000"/>
                <w:sz w:val="24"/>
              </w:rPr>
            </w:pPr>
            <w:r>
              <w:rPr>
                <w:rFonts w:hint="eastAsia" w:ascii="FangSong_GB2312" w:eastAsia="FangSong_GB2312"/>
                <w:color w:val="000000"/>
                <w:sz w:val="24"/>
              </w:rPr>
              <w:t>注册资本</w:t>
            </w:r>
            <w:r>
              <w:rPr>
                <w:rFonts w:ascii="FangSong_GB2312" w:eastAsia="FangSong_GB2312"/>
                <w:color w:val="000000"/>
                <w:sz w:val="24"/>
              </w:rPr>
              <w:t>/</w:t>
            </w:r>
            <w:r>
              <w:rPr>
                <w:rFonts w:hint="eastAsia" w:ascii="FangSong_GB2312" w:eastAsia="FangSong_GB2312"/>
                <w:color w:val="000000"/>
                <w:sz w:val="24"/>
              </w:rPr>
              <w:t>认缴出资总额</w:t>
            </w:r>
          </w:p>
        </w:tc>
        <w:tc>
          <w:tcPr>
            <w:tcW w:w="4093" w:type="dxa"/>
            <w:gridSpan w:val="3"/>
            <w:tcBorders>
              <w:left w:val="single" w:color="auto" w:sz="6" w:space="0"/>
              <w:right w:val="single" w:color="auto" w:sz="6" w:space="0"/>
            </w:tcBorders>
            <w:vAlign w:val="center"/>
          </w:tcPr>
          <w:p>
            <w:pPr>
              <w:jc w:val="center"/>
              <w:rPr>
                <w:rFonts w:ascii="FangSong_GB2312" w:eastAsia="FangSong_GB2312"/>
                <w:color w:val="000000"/>
                <w:sz w:val="24"/>
              </w:rPr>
            </w:pPr>
            <w:r>
              <w:rPr>
                <w:rFonts w:hint="eastAsia" w:ascii="FangSong_GB2312" w:eastAsia="FangSong_GB2312"/>
                <w:color w:val="000000"/>
                <w:sz w:val="24"/>
              </w:rPr>
              <w:t xml:space="preserve">      万元整</w:t>
            </w:r>
          </w:p>
        </w:tc>
        <w:tc>
          <w:tcPr>
            <w:tcW w:w="1998" w:type="dxa"/>
            <w:gridSpan w:val="3"/>
            <w:tcBorders>
              <w:left w:val="single" w:color="auto" w:sz="6" w:space="0"/>
              <w:right w:val="single" w:color="auto" w:sz="6" w:space="0"/>
            </w:tcBorders>
            <w:vAlign w:val="center"/>
          </w:tcPr>
          <w:p>
            <w:pPr>
              <w:rPr>
                <w:rFonts w:ascii="FangSong_GB2312" w:eastAsia="FangSong_GB2312"/>
                <w:color w:val="000000"/>
                <w:sz w:val="24"/>
              </w:rPr>
            </w:pPr>
            <w:r>
              <w:rPr>
                <w:rFonts w:hint="eastAsia" w:ascii="FangSong_GB2312" w:eastAsia="FangSong_GB2312"/>
                <w:color w:val="000000"/>
                <w:sz w:val="24"/>
              </w:rPr>
              <w:t>组织机构代码</w:t>
            </w:r>
          </w:p>
        </w:tc>
        <w:tc>
          <w:tcPr>
            <w:tcW w:w="2069" w:type="dxa"/>
            <w:tcBorders>
              <w:left w:val="single" w:color="auto" w:sz="6" w:space="0"/>
            </w:tcBorders>
            <w:vAlign w:val="center"/>
          </w:tcPr>
          <w:p>
            <w:pPr>
              <w:rPr>
                <w:rFonts w:ascii="FangSong_GB2312" w:eastAsia="FangSong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588" w:hRule="atLeast"/>
        </w:trPr>
        <w:tc>
          <w:tcPr>
            <w:tcW w:w="1544" w:type="dxa"/>
            <w:vMerge w:val="restart"/>
            <w:tcBorders>
              <w:right w:val="single" w:color="auto" w:sz="6" w:space="0"/>
            </w:tcBorders>
            <w:vAlign w:val="center"/>
          </w:tcPr>
          <w:p>
            <w:pPr>
              <w:jc w:val="center"/>
              <w:rPr>
                <w:rFonts w:ascii="FangSong_GB2312" w:eastAsia="FangSong_GB2312"/>
                <w:color w:val="000000"/>
                <w:sz w:val="24"/>
              </w:rPr>
            </w:pPr>
            <w:r>
              <w:rPr>
                <w:rFonts w:hint="eastAsia" w:ascii="FangSong_GB2312" w:eastAsia="FangSong_GB2312"/>
                <w:color w:val="000000"/>
                <w:sz w:val="24"/>
              </w:rPr>
              <w:t>联系人</w:t>
            </w:r>
          </w:p>
        </w:tc>
        <w:tc>
          <w:tcPr>
            <w:tcW w:w="1567" w:type="dxa"/>
            <w:tcBorders>
              <w:left w:val="single" w:color="auto" w:sz="6" w:space="0"/>
              <w:right w:val="single" w:color="auto" w:sz="6" w:space="0"/>
            </w:tcBorders>
            <w:vAlign w:val="center"/>
          </w:tcPr>
          <w:p>
            <w:pPr>
              <w:rPr>
                <w:rFonts w:ascii="FangSong_GB2312" w:eastAsia="FangSong_GB2312"/>
                <w:color w:val="000000"/>
                <w:sz w:val="24"/>
              </w:rPr>
            </w:pPr>
            <w:r>
              <w:rPr>
                <w:rFonts w:hint="eastAsia" w:ascii="FangSong_GB2312" w:eastAsia="FangSong_GB2312"/>
                <w:color w:val="000000"/>
                <w:sz w:val="24"/>
              </w:rPr>
              <w:t>姓名</w:t>
            </w:r>
          </w:p>
        </w:tc>
        <w:tc>
          <w:tcPr>
            <w:tcW w:w="2526" w:type="dxa"/>
            <w:gridSpan w:val="2"/>
            <w:tcBorders>
              <w:left w:val="single" w:color="auto" w:sz="6" w:space="0"/>
              <w:right w:val="single" w:color="auto" w:sz="6" w:space="0"/>
            </w:tcBorders>
            <w:vAlign w:val="center"/>
          </w:tcPr>
          <w:p>
            <w:pPr>
              <w:rPr>
                <w:rFonts w:ascii="FangSong_GB2312" w:eastAsia="FangSong_GB2312"/>
                <w:color w:val="000000"/>
                <w:sz w:val="24"/>
              </w:rPr>
            </w:pPr>
          </w:p>
        </w:tc>
        <w:tc>
          <w:tcPr>
            <w:tcW w:w="1998" w:type="dxa"/>
            <w:gridSpan w:val="3"/>
            <w:tcBorders>
              <w:left w:val="single" w:color="auto" w:sz="6" w:space="0"/>
              <w:right w:val="single" w:color="auto" w:sz="6" w:space="0"/>
            </w:tcBorders>
            <w:vAlign w:val="center"/>
          </w:tcPr>
          <w:p>
            <w:pPr>
              <w:rPr>
                <w:rFonts w:ascii="FangSong_GB2312" w:eastAsia="FangSong_GB2312"/>
                <w:color w:val="000000"/>
                <w:sz w:val="24"/>
              </w:rPr>
            </w:pPr>
            <w:r>
              <w:rPr>
                <w:rFonts w:hint="eastAsia" w:ascii="FangSong_GB2312" w:eastAsia="FangSong_GB2312"/>
                <w:color w:val="000000"/>
                <w:sz w:val="24"/>
              </w:rPr>
              <w:t>职务</w:t>
            </w:r>
          </w:p>
        </w:tc>
        <w:tc>
          <w:tcPr>
            <w:tcW w:w="2069" w:type="dxa"/>
            <w:tcBorders>
              <w:left w:val="single" w:color="auto" w:sz="6" w:space="0"/>
            </w:tcBorders>
            <w:vAlign w:val="center"/>
          </w:tcPr>
          <w:p>
            <w:pPr>
              <w:spacing w:line="440" w:lineRule="exact"/>
              <w:rPr>
                <w:rFonts w:ascii="FangSong_GB2312" w:eastAsia="FangSong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538" w:hRule="atLeast"/>
        </w:trPr>
        <w:tc>
          <w:tcPr>
            <w:tcW w:w="1544" w:type="dxa"/>
            <w:vMerge w:val="continue"/>
            <w:tcBorders>
              <w:right w:val="single" w:color="auto" w:sz="6" w:space="0"/>
            </w:tcBorders>
            <w:vAlign w:val="center"/>
          </w:tcPr>
          <w:p>
            <w:pPr>
              <w:widowControl/>
              <w:rPr>
                <w:rFonts w:ascii="FangSong_GB2312" w:eastAsia="FangSong_GB2312"/>
                <w:sz w:val="24"/>
              </w:rPr>
            </w:pPr>
          </w:p>
        </w:tc>
        <w:tc>
          <w:tcPr>
            <w:tcW w:w="1567" w:type="dxa"/>
            <w:tcBorders>
              <w:left w:val="single" w:color="auto" w:sz="6" w:space="0"/>
              <w:right w:val="single" w:color="auto" w:sz="6" w:space="0"/>
            </w:tcBorders>
            <w:vAlign w:val="center"/>
          </w:tcPr>
          <w:p>
            <w:pPr>
              <w:rPr>
                <w:rFonts w:ascii="FangSong_GB2312" w:eastAsia="FangSong_GB2312"/>
                <w:sz w:val="24"/>
              </w:rPr>
            </w:pPr>
            <w:r>
              <w:rPr>
                <w:rFonts w:hint="eastAsia" w:ascii="FangSong_GB2312" w:eastAsia="FangSong_GB2312"/>
                <w:sz w:val="24"/>
              </w:rPr>
              <w:t>办公电话</w:t>
            </w:r>
          </w:p>
        </w:tc>
        <w:tc>
          <w:tcPr>
            <w:tcW w:w="2526" w:type="dxa"/>
            <w:gridSpan w:val="2"/>
            <w:tcBorders>
              <w:left w:val="single" w:color="auto" w:sz="6" w:space="0"/>
              <w:right w:val="single" w:color="auto" w:sz="6" w:space="0"/>
            </w:tcBorders>
            <w:vAlign w:val="center"/>
          </w:tcPr>
          <w:p>
            <w:pPr>
              <w:rPr>
                <w:rFonts w:ascii="FangSong_GB2312" w:eastAsia="FangSong_GB2312"/>
                <w:sz w:val="24"/>
              </w:rPr>
            </w:pPr>
          </w:p>
        </w:tc>
        <w:tc>
          <w:tcPr>
            <w:tcW w:w="1998" w:type="dxa"/>
            <w:gridSpan w:val="3"/>
            <w:tcBorders>
              <w:left w:val="single" w:color="auto" w:sz="6" w:space="0"/>
              <w:right w:val="single" w:color="auto" w:sz="6" w:space="0"/>
            </w:tcBorders>
            <w:vAlign w:val="center"/>
          </w:tcPr>
          <w:p>
            <w:pPr>
              <w:rPr>
                <w:rFonts w:ascii="FangSong_GB2312" w:eastAsia="FangSong_GB2312"/>
                <w:sz w:val="24"/>
              </w:rPr>
            </w:pPr>
            <w:r>
              <w:rPr>
                <w:rFonts w:hint="eastAsia" w:ascii="FangSong_GB2312" w:eastAsia="FangSong_GB2312"/>
                <w:sz w:val="24"/>
              </w:rPr>
              <w:t>手机</w:t>
            </w:r>
          </w:p>
        </w:tc>
        <w:tc>
          <w:tcPr>
            <w:tcW w:w="2069" w:type="dxa"/>
            <w:tcBorders>
              <w:left w:val="single" w:color="auto" w:sz="6" w:space="0"/>
            </w:tcBorders>
            <w:vAlign w:val="center"/>
          </w:tcPr>
          <w:p>
            <w:pPr>
              <w:spacing w:line="440" w:lineRule="exact"/>
              <w:rPr>
                <w:rFonts w:ascii="FangSong_GB2312" w:eastAsia="FangSong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538" w:hRule="atLeast"/>
        </w:trPr>
        <w:tc>
          <w:tcPr>
            <w:tcW w:w="1544" w:type="dxa"/>
            <w:vMerge w:val="continue"/>
            <w:tcBorders>
              <w:right w:val="single" w:color="auto" w:sz="6" w:space="0"/>
            </w:tcBorders>
            <w:vAlign w:val="center"/>
          </w:tcPr>
          <w:p>
            <w:pPr>
              <w:widowControl/>
              <w:rPr>
                <w:rFonts w:ascii="FangSong_GB2312" w:eastAsia="FangSong_GB2312"/>
                <w:sz w:val="24"/>
              </w:rPr>
            </w:pPr>
          </w:p>
        </w:tc>
        <w:tc>
          <w:tcPr>
            <w:tcW w:w="1567" w:type="dxa"/>
            <w:tcBorders>
              <w:left w:val="single" w:color="auto" w:sz="6" w:space="0"/>
              <w:right w:val="single" w:color="auto" w:sz="6" w:space="0"/>
            </w:tcBorders>
            <w:vAlign w:val="center"/>
          </w:tcPr>
          <w:p>
            <w:pPr>
              <w:rPr>
                <w:rFonts w:ascii="FangSong_GB2312" w:eastAsia="FangSong_GB2312"/>
                <w:sz w:val="24"/>
              </w:rPr>
            </w:pPr>
            <w:r>
              <w:rPr>
                <w:rFonts w:hint="eastAsia" w:ascii="FangSong_GB2312" w:eastAsia="FangSong_GB2312"/>
                <w:sz w:val="24"/>
              </w:rPr>
              <w:t>传真</w:t>
            </w:r>
          </w:p>
        </w:tc>
        <w:tc>
          <w:tcPr>
            <w:tcW w:w="2526" w:type="dxa"/>
            <w:gridSpan w:val="2"/>
            <w:tcBorders>
              <w:left w:val="single" w:color="auto" w:sz="6" w:space="0"/>
              <w:right w:val="single" w:color="auto" w:sz="6" w:space="0"/>
            </w:tcBorders>
            <w:vAlign w:val="center"/>
          </w:tcPr>
          <w:p>
            <w:pPr>
              <w:rPr>
                <w:rFonts w:ascii="FangSong_GB2312" w:eastAsia="FangSong_GB2312"/>
                <w:sz w:val="24"/>
              </w:rPr>
            </w:pPr>
          </w:p>
        </w:tc>
        <w:tc>
          <w:tcPr>
            <w:tcW w:w="1998" w:type="dxa"/>
            <w:gridSpan w:val="3"/>
            <w:tcBorders>
              <w:left w:val="single" w:color="auto" w:sz="6" w:space="0"/>
              <w:right w:val="single" w:color="auto" w:sz="6" w:space="0"/>
            </w:tcBorders>
            <w:vAlign w:val="center"/>
          </w:tcPr>
          <w:p>
            <w:pPr>
              <w:rPr>
                <w:rFonts w:ascii="FangSong_GB2312" w:eastAsia="FangSong_GB2312"/>
                <w:sz w:val="24"/>
              </w:rPr>
            </w:pPr>
            <w:r>
              <w:rPr>
                <w:rFonts w:hint="eastAsia" w:ascii="FangSong_GB2312" w:eastAsia="FangSong_GB2312"/>
                <w:sz w:val="24"/>
              </w:rPr>
              <w:t>电子邮箱</w:t>
            </w:r>
          </w:p>
        </w:tc>
        <w:tc>
          <w:tcPr>
            <w:tcW w:w="2069" w:type="dxa"/>
            <w:tcBorders>
              <w:left w:val="single" w:color="auto" w:sz="6" w:space="0"/>
            </w:tcBorders>
            <w:vAlign w:val="center"/>
          </w:tcPr>
          <w:p>
            <w:pPr>
              <w:spacing w:line="440" w:lineRule="exact"/>
              <w:rPr>
                <w:rFonts w:ascii="FangSong_GB2312" w:eastAsia="FangSong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637" w:hRule="atLeast"/>
        </w:trPr>
        <w:tc>
          <w:tcPr>
            <w:tcW w:w="1544" w:type="dxa"/>
            <w:vMerge w:val="continue"/>
            <w:tcBorders>
              <w:right w:val="single" w:color="auto" w:sz="6" w:space="0"/>
            </w:tcBorders>
            <w:vAlign w:val="center"/>
          </w:tcPr>
          <w:p>
            <w:pPr>
              <w:widowControl/>
              <w:rPr>
                <w:rFonts w:ascii="FangSong_GB2312" w:eastAsia="FangSong_GB2312"/>
                <w:sz w:val="24"/>
              </w:rPr>
            </w:pPr>
          </w:p>
        </w:tc>
        <w:tc>
          <w:tcPr>
            <w:tcW w:w="1567" w:type="dxa"/>
            <w:tcBorders>
              <w:left w:val="single" w:color="auto" w:sz="6" w:space="0"/>
              <w:right w:val="single" w:color="auto" w:sz="6" w:space="0"/>
            </w:tcBorders>
            <w:vAlign w:val="center"/>
          </w:tcPr>
          <w:p>
            <w:pPr>
              <w:rPr>
                <w:rFonts w:ascii="FangSong_GB2312" w:eastAsia="FangSong_GB2312"/>
                <w:sz w:val="24"/>
              </w:rPr>
            </w:pPr>
            <w:r>
              <w:rPr>
                <w:rFonts w:hint="eastAsia" w:ascii="FangSong_GB2312" w:eastAsia="FangSong_GB2312"/>
                <w:sz w:val="24"/>
              </w:rPr>
              <w:t>通信地址</w:t>
            </w:r>
          </w:p>
        </w:tc>
        <w:tc>
          <w:tcPr>
            <w:tcW w:w="2526" w:type="dxa"/>
            <w:gridSpan w:val="2"/>
            <w:tcBorders>
              <w:left w:val="single" w:color="auto" w:sz="6" w:space="0"/>
              <w:right w:val="single" w:color="auto" w:sz="6" w:space="0"/>
            </w:tcBorders>
            <w:vAlign w:val="center"/>
          </w:tcPr>
          <w:p>
            <w:pPr>
              <w:rPr>
                <w:rFonts w:ascii="FangSong_GB2312" w:eastAsia="FangSong_GB2312"/>
                <w:sz w:val="24"/>
              </w:rPr>
            </w:pPr>
          </w:p>
        </w:tc>
        <w:tc>
          <w:tcPr>
            <w:tcW w:w="1998" w:type="dxa"/>
            <w:gridSpan w:val="3"/>
            <w:tcBorders>
              <w:left w:val="single" w:color="auto" w:sz="6" w:space="0"/>
              <w:right w:val="single" w:color="auto" w:sz="6" w:space="0"/>
            </w:tcBorders>
            <w:vAlign w:val="center"/>
          </w:tcPr>
          <w:p>
            <w:pPr>
              <w:rPr>
                <w:rFonts w:ascii="FangSong_GB2312" w:eastAsia="FangSong_GB2312"/>
                <w:sz w:val="24"/>
              </w:rPr>
            </w:pPr>
            <w:r>
              <w:rPr>
                <w:rFonts w:hint="eastAsia" w:ascii="FangSong_GB2312" w:eastAsia="FangSong_GB2312"/>
                <w:sz w:val="24"/>
              </w:rPr>
              <w:t>邮政编码</w:t>
            </w:r>
          </w:p>
        </w:tc>
        <w:tc>
          <w:tcPr>
            <w:tcW w:w="2069" w:type="dxa"/>
            <w:tcBorders>
              <w:left w:val="single" w:color="auto" w:sz="6" w:space="0"/>
            </w:tcBorders>
            <w:vAlign w:val="center"/>
          </w:tcPr>
          <w:p>
            <w:pPr>
              <w:spacing w:line="440" w:lineRule="exact"/>
              <w:rPr>
                <w:rFonts w:ascii="FangSong_GB2312" w:eastAsia="FangSong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505" w:hRule="atLeast"/>
        </w:trPr>
        <w:tc>
          <w:tcPr>
            <w:tcW w:w="9704" w:type="dxa"/>
            <w:gridSpan w:val="8"/>
            <w:vAlign w:val="center"/>
          </w:tcPr>
          <w:p>
            <w:pPr>
              <w:rPr>
                <w:rFonts w:ascii="FangSong_GB2312" w:eastAsia="FangSong_GB2312"/>
                <w:sz w:val="24"/>
              </w:rPr>
            </w:pPr>
            <w:r>
              <w:rPr>
                <w:rFonts w:hint="eastAsia" w:ascii="黑体" w:hAnsi="黑体" w:eastAsia="黑体"/>
                <w:sz w:val="24"/>
              </w:rPr>
              <w:t>二、拟申请哈尔滨市市级财政专项资金股权投资基金</w:t>
            </w: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683" w:hRule="atLeast"/>
        </w:trPr>
        <w:tc>
          <w:tcPr>
            <w:tcW w:w="1544" w:type="dxa"/>
            <w:tcBorders>
              <w:right w:val="single" w:color="auto" w:sz="6" w:space="0"/>
            </w:tcBorders>
            <w:vAlign w:val="center"/>
          </w:tcPr>
          <w:p>
            <w:pPr>
              <w:rPr>
                <w:rFonts w:ascii="FangSong_GB2312" w:eastAsia="FangSong_GB2312"/>
                <w:spacing w:val="-22"/>
                <w:w w:val="90"/>
                <w:sz w:val="24"/>
              </w:rPr>
            </w:pPr>
            <w:r>
              <w:rPr>
                <w:rFonts w:hint="eastAsia" w:ascii="FangSong_GB2312" w:eastAsia="FangSong_GB2312"/>
                <w:sz w:val="24"/>
              </w:rPr>
              <w:t>名称</w:t>
            </w:r>
          </w:p>
        </w:tc>
        <w:tc>
          <w:tcPr>
            <w:tcW w:w="4402" w:type="dxa"/>
            <w:gridSpan w:val="4"/>
            <w:tcBorders>
              <w:left w:val="single" w:color="auto" w:sz="6" w:space="0"/>
              <w:right w:val="single" w:color="auto" w:sz="6" w:space="0"/>
            </w:tcBorders>
            <w:vAlign w:val="center"/>
          </w:tcPr>
          <w:p>
            <w:pPr>
              <w:ind w:firstLine="1680" w:firstLineChars="700"/>
              <w:rPr>
                <w:rFonts w:ascii="FangSong_GB2312" w:eastAsia="FangSong_GB2312"/>
                <w:sz w:val="24"/>
              </w:rPr>
            </w:pPr>
          </w:p>
        </w:tc>
        <w:tc>
          <w:tcPr>
            <w:tcW w:w="1689" w:type="dxa"/>
            <w:gridSpan w:val="2"/>
            <w:tcBorders>
              <w:left w:val="single" w:color="auto" w:sz="6" w:space="0"/>
              <w:right w:val="single" w:color="auto" w:sz="6" w:space="0"/>
            </w:tcBorders>
            <w:vAlign w:val="center"/>
          </w:tcPr>
          <w:p>
            <w:pPr>
              <w:rPr>
                <w:rFonts w:ascii="FangSong_GB2312" w:eastAsia="FangSong_GB2312"/>
                <w:sz w:val="24"/>
              </w:rPr>
            </w:pPr>
            <w:r>
              <w:rPr>
                <w:rFonts w:hint="eastAsia" w:ascii="FangSong_GB2312" w:eastAsia="FangSong_GB2312"/>
                <w:sz w:val="24"/>
              </w:rPr>
              <w:t>组织形式</w:t>
            </w:r>
          </w:p>
        </w:tc>
        <w:tc>
          <w:tcPr>
            <w:tcW w:w="2069" w:type="dxa"/>
            <w:tcBorders>
              <w:left w:val="single" w:color="auto" w:sz="6" w:space="0"/>
            </w:tcBorders>
            <w:vAlign w:val="center"/>
          </w:tcPr>
          <w:p>
            <w:pPr>
              <w:rPr>
                <w:rFonts w:ascii="FangSong_GB2312" w:hAnsi="宋体" w:eastAsia="FangSong_GB2312"/>
                <w:sz w:val="24"/>
              </w:rPr>
            </w:pPr>
            <w:r>
              <w:rPr>
                <w:rFonts w:hint="eastAsia" w:ascii="FangSong_GB2312" w:eastAsia="FangSong_GB2312"/>
                <w:sz w:val="24"/>
              </w:rPr>
              <w:t>有限合伙制</w:t>
            </w: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546" w:hRule="atLeast"/>
        </w:trPr>
        <w:tc>
          <w:tcPr>
            <w:tcW w:w="1544" w:type="dxa"/>
            <w:tcBorders>
              <w:right w:val="single" w:color="auto" w:sz="6" w:space="0"/>
            </w:tcBorders>
            <w:vAlign w:val="center"/>
          </w:tcPr>
          <w:p>
            <w:pPr>
              <w:rPr>
                <w:rFonts w:ascii="FangSong_GB2312" w:eastAsia="FangSong_GB2312"/>
                <w:sz w:val="24"/>
              </w:rPr>
            </w:pPr>
            <w:r>
              <w:rPr>
                <w:rFonts w:hint="eastAsia" w:ascii="FangSong_GB2312" w:eastAsia="FangSong_GB2312"/>
                <w:sz w:val="24"/>
              </w:rPr>
              <w:t>注册地址</w:t>
            </w:r>
          </w:p>
        </w:tc>
        <w:tc>
          <w:tcPr>
            <w:tcW w:w="4402" w:type="dxa"/>
            <w:gridSpan w:val="4"/>
            <w:tcBorders>
              <w:left w:val="single" w:color="auto" w:sz="6" w:space="0"/>
              <w:right w:val="single" w:color="auto" w:sz="6" w:space="0"/>
            </w:tcBorders>
            <w:vAlign w:val="center"/>
          </w:tcPr>
          <w:p>
            <w:pPr>
              <w:ind w:firstLine="1680" w:firstLineChars="700"/>
              <w:rPr>
                <w:rFonts w:ascii="FangSong_GB2312" w:eastAsia="FangSong_GB2312"/>
                <w:sz w:val="24"/>
              </w:rPr>
            </w:pPr>
          </w:p>
        </w:tc>
        <w:tc>
          <w:tcPr>
            <w:tcW w:w="1689" w:type="dxa"/>
            <w:gridSpan w:val="2"/>
            <w:tcBorders>
              <w:left w:val="single" w:color="auto" w:sz="6" w:space="0"/>
              <w:right w:val="single" w:color="auto" w:sz="6" w:space="0"/>
            </w:tcBorders>
            <w:vAlign w:val="center"/>
          </w:tcPr>
          <w:p>
            <w:pPr>
              <w:rPr>
                <w:rFonts w:ascii="FangSong_GB2312" w:eastAsia="FangSong_GB2312"/>
                <w:sz w:val="24"/>
              </w:rPr>
            </w:pPr>
            <w:r>
              <w:rPr>
                <w:rFonts w:hint="eastAsia" w:ascii="FangSong_GB2312" w:eastAsia="FangSong_GB2312"/>
                <w:sz w:val="24"/>
              </w:rPr>
              <w:t>合伙期限</w:t>
            </w:r>
            <w:r>
              <w:rPr>
                <w:rFonts w:ascii="FangSong_GB2312" w:eastAsia="FangSong_GB2312"/>
                <w:sz w:val="24"/>
              </w:rPr>
              <w:t>(</w:t>
            </w:r>
            <w:r>
              <w:rPr>
                <w:rFonts w:hint="eastAsia" w:ascii="FangSong_GB2312" w:eastAsia="FangSong_GB2312"/>
                <w:sz w:val="24"/>
              </w:rPr>
              <w:t>存续期</w:t>
            </w:r>
            <w:r>
              <w:rPr>
                <w:rFonts w:ascii="FangSong_GB2312" w:eastAsia="FangSong_GB2312"/>
                <w:sz w:val="24"/>
              </w:rPr>
              <w:t>)</w:t>
            </w:r>
          </w:p>
        </w:tc>
        <w:tc>
          <w:tcPr>
            <w:tcW w:w="2069" w:type="dxa"/>
            <w:tcBorders>
              <w:left w:val="single" w:color="auto" w:sz="6" w:space="0"/>
            </w:tcBorders>
            <w:vAlign w:val="center"/>
          </w:tcPr>
          <w:p>
            <w:pPr>
              <w:ind w:firstLine="1680" w:firstLineChars="700"/>
              <w:rPr>
                <w:rFonts w:ascii="FangSong_GB2312" w:hAnsi="宋体" w:eastAsia="FangSong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659" w:hRule="atLeast"/>
        </w:trPr>
        <w:tc>
          <w:tcPr>
            <w:tcW w:w="1544" w:type="dxa"/>
            <w:tcBorders>
              <w:right w:val="single" w:color="auto" w:sz="6" w:space="0"/>
            </w:tcBorders>
            <w:vAlign w:val="center"/>
          </w:tcPr>
          <w:p>
            <w:pPr>
              <w:rPr>
                <w:rFonts w:ascii="FangSong_GB2312" w:hAnsi="宋体" w:eastAsia="FangSong_GB2312"/>
                <w:sz w:val="24"/>
              </w:rPr>
            </w:pPr>
            <w:r>
              <w:rPr>
                <w:rFonts w:hint="eastAsia" w:ascii="FangSong_GB2312" w:hAnsi="宋体" w:eastAsia="FangSong_GB2312"/>
                <w:sz w:val="24"/>
              </w:rPr>
              <w:t>经营范围</w:t>
            </w:r>
          </w:p>
        </w:tc>
        <w:tc>
          <w:tcPr>
            <w:tcW w:w="4402" w:type="dxa"/>
            <w:gridSpan w:val="4"/>
            <w:tcBorders>
              <w:left w:val="single" w:color="auto" w:sz="6" w:space="0"/>
              <w:right w:val="single" w:color="auto" w:sz="6" w:space="0"/>
            </w:tcBorders>
            <w:vAlign w:val="center"/>
          </w:tcPr>
          <w:p>
            <w:pPr>
              <w:rPr>
                <w:rFonts w:ascii="FangSong_GB2312" w:eastAsia="FangSong_GB2312"/>
                <w:sz w:val="24"/>
              </w:rPr>
            </w:pPr>
          </w:p>
        </w:tc>
        <w:tc>
          <w:tcPr>
            <w:tcW w:w="1689" w:type="dxa"/>
            <w:gridSpan w:val="2"/>
            <w:tcBorders>
              <w:left w:val="single" w:color="auto" w:sz="6" w:space="0"/>
              <w:right w:val="single" w:color="auto" w:sz="6" w:space="0"/>
            </w:tcBorders>
            <w:vAlign w:val="center"/>
          </w:tcPr>
          <w:p>
            <w:pPr>
              <w:ind w:firstLine="129" w:firstLineChars="54"/>
              <w:jc w:val="left"/>
              <w:rPr>
                <w:rFonts w:ascii="FangSong_GB2312" w:hAnsi="宋体" w:eastAsia="FangSong_GB2312"/>
                <w:sz w:val="24"/>
              </w:rPr>
            </w:pPr>
            <w:r>
              <w:rPr>
                <w:rFonts w:hint="eastAsia" w:ascii="FangSong_GB2312" w:eastAsia="FangSong_GB2312"/>
                <w:sz w:val="24"/>
              </w:rPr>
              <w:t>投资领域</w:t>
            </w:r>
          </w:p>
        </w:tc>
        <w:tc>
          <w:tcPr>
            <w:tcW w:w="2069" w:type="dxa"/>
            <w:tcBorders>
              <w:left w:val="single" w:color="auto" w:sz="6" w:space="0"/>
            </w:tcBorders>
            <w:vAlign w:val="center"/>
          </w:tcPr>
          <w:p>
            <w:pPr>
              <w:adjustRightInd w:val="0"/>
              <w:snapToGrid w:val="0"/>
              <w:rPr>
                <w:rFonts w:ascii="FangSong_GB2312" w:eastAsia="FangSong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650" w:hRule="atLeast"/>
        </w:trPr>
        <w:tc>
          <w:tcPr>
            <w:tcW w:w="1544" w:type="dxa"/>
            <w:tcBorders>
              <w:right w:val="single" w:color="auto" w:sz="6" w:space="0"/>
            </w:tcBorders>
            <w:vAlign w:val="center"/>
          </w:tcPr>
          <w:p>
            <w:pPr>
              <w:rPr>
                <w:rFonts w:ascii="FangSong_GB2312" w:eastAsia="FangSong_GB2312"/>
                <w:sz w:val="24"/>
              </w:rPr>
            </w:pPr>
            <w:r>
              <w:rPr>
                <w:rFonts w:hint="eastAsia" w:ascii="FangSong_GB2312" w:eastAsia="FangSong_GB2312"/>
                <w:sz w:val="24"/>
              </w:rPr>
              <w:t>拟募集</w:t>
            </w:r>
          </w:p>
          <w:p>
            <w:pPr>
              <w:rPr>
                <w:rFonts w:ascii="FangSong_GB2312" w:eastAsia="FangSong_GB2312"/>
                <w:sz w:val="24"/>
              </w:rPr>
            </w:pPr>
            <w:r>
              <w:rPr>
                <w:rFonts w:hint="eastAsia" w:ascii="FangSong_GB2312" w:eastAsia="FangSong_GB2312"/>
                <w:sz w:val="24"/>
              </w:rPr>
              <w:t>资金规模</w:t>
            </w:r>
          </w:p>
        </w:tc>
        <w:tc>
          <w:tcPr>
            <w:tcW w:w="1567" w:type="dxa"/>
            <w:tcBorders>
              <w:left w:val="single" w:color="auto" w:sz="6" w:space="0"/>
              <w:right w:val="single" w:color="auto" w:sz="6" w:space="0"/>
            </w:tcBorders>
            <w:vAlign w:val="center"/>
          </w:tcPr>
          <w:p>
            <w:pPr>
              <w:ind w:firstLine="840" w:firstLineChars="350"/>
              <w:rPr>
                <w:rFonts w:ascii="FangSong_GB2312" w:hAnsi="宋体" w:eastAsia="FangSong_GB2312"/>
                <w:sz w:val="24"/>
              </w:rPr>
            </w:pPr>
            <w:r>
              <w:rPr>
                <w:rFonts w:hint="eastAsia" w:ascii="FangSong_GB2312" w:hAnsi="宋体" w:eastAsia="FangSong_GB2312"/>
                <w:sz w:val="24"/>
              </w:rPr>
              <w:t>万元</w:t>
            </w:r>
          </w:p>
        </w:tc>
        <w:tc>
          <w:tcPr>
            <w:tcW w:w="1533" w:type="dxa"/>
            <w:tcBorders>
              <w:left w:val="single" w:color="auto" w:sz="6" w:space="0"/>
              <w:right w:val="single" w:color="auto" w:sz="6" w:space="0"/>
            </w:tcBorders>
            <w:vAlign w:val="center"/>
          </w:tcPr>
          <w:p>
            <w:pPr>
              <w:rPr>
                <w:rFonts w:ascii="FangSong_GB2312" w:eastAsia="FangSong_GB2312"/>
                <w:sz w:val="24"/>
              </w:rPr>
            </w:pPr>
            <w:r>
              <w:rPr>
                <w:rFonts w:hint="eastAsia" w:ascii="FangSong_GB2312" w:eastAsia="FangSong_GB2312"/>
                <w:sz w:val="24"/>
              </w:rPr>
              <w:t>主发起人或主出资人承诺出资</w:t>
            </w:r>
          </w:p>
        </w:tc>
        <w:tc>
          <w:tcPr>
            <w:tcW w:w="1302" w:type="dxa"/>
            <w:gridSpan w:val="2"/>
            <w:tcBorders>
              <w:left w:val="single" w:color="auto" w:sz="6" w:space="0"/>
              <w:right w:val="single" w:color="auto" w:sz="6" w:space="0"/>
            </w:tcBorders>
            <w:vAlign w:val="center"/>
          </w:tcPr>
          <w:p>
            <w:pPr>
              <w:ind w:firstLine="480" w:firstLineChars="200"/>
              <w:rPr>
                <w:rFonts w:ascii="FangSong_GB2312" w:hAnsi="宋体" w:eastAsia="FangSong_GB2312"/>
                <w:color w:val="000000"/>
                <w:sz w:val="24"/>
              </w:rPr>
            </w:pPr>
            <w:r>
              <w:rPr>
                <w:rFonts w:hint="eastAsia" w:ascii="FangSong_GB2312" w:hAnsi="宋体" w:eastAsia="FangSong_GB2312"/>
                <w:color w:val="000000"/>
                <w:sz w:val="24"/>
              </w:rPr>
              <w:t>万元</w:t>
            </w:r>
          </w:p>
        </w:tc>
        <w:tc>
          <w:tcPr>
            <w:tcW w:w="1689" w:type="dxa"/>
            <w:gridSpan w:val="2"/>
            <w:tcBorders>
              <w:left w:val="single" w:color="auto" w:sz="6" w:space="0"/>
              <w:right w:val="single" w:color="auto" w:sz="6" w:space="0"/>
            </w:tcBorders>
            <w:vAlign w:val="center"/>
          </w:tcPr>
          <w:p>
            <w:pPr>
              <w:rPr>
                <w:rFonts w:ascii="FangSong_GB2312" w:eastAsia="FangSong_GB2312"/>
                <w:sz w:val="24"/>
              </w:rPr>
            </w:pPr>
            <w:r>
              <w:rPr>
                <w:rFonts w:hint="eastAsia" w:ascii="FangSong_GB2312" w:eastAsia="FangSong_GB2312"/>
                <w:sz w:val="24"/>
              </w:rPr>
              <w:t>股权投资基金管理机构承诺出资</w:t>
            </w:r>
          </w:p>
        </w:tc>
        <w:tc>
          <w:tcPr>
            <w:tcW w:w="2069" w:type="dxa"/>
            <w:tcBorders>
              <w:left w:val="single" w:color="auto" w:sz="6" w:space="0"/>
            </w:tcBorders>
            <w:vAlign w:val="center"/>
          </w:tcPr>
          <w:p>
            <w:pPr>
              <w:jc w:val="right"/>
              <w:rPr>
                <w:rFonts w:ascii="FangSong_GB2312" w:hAnsi="宋体" w:eastAsia="FangSong_GB2312"/>
                <w:sz w:val="24"/>
              </w:rPr>
            </w:pPr>
            <w:r>
              <w:rPr>
                <w:rFonts w:hint="eastAsia" w:ascii="FangSong_GB2312" w:hAnsi="宋体" w:eastAsia="FangSong_GB2312"/>
                <w:sz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701" w:hRule="atLeast"/>
        </w:trPr>
        <w:tc>
          <w:tcPr>
            <w:tcW w:w="1544" w:type="dxa"/>
            <w:tcBorders>
              <w:right w:val="single" w:color="auto" w:sz="6" w:space="0"/>
            </w:tcBorders>
            <w:vAlign w:val="center"/>
          </w:tcPr>
          <w:p>
            <w:pPr>
              <w:rPr>
                <w:rFonts w:ascii="FangSong_GB2312" w:eastAsia="FangSong_GB2312"/>
                <w:sz w:val="24"/>
              </w:rPr>
            </w:pPr>
            <w:r>
              <w:rPr>
                <w:rFonts w:hint="eastAsia" w:ascii="FangSong_GB2312" w:eastAsia="FangSong_GB2312"/>
                <w:sz w:val="24"/>
              </w:rPr>
              <w:t>申请市股权投资基金金额</w:t>
            </w:r>
          </w:p>
        </w:tc>
        <w:tc>
          <w:tcPr>
            <w:tcW w:w="1567" w:type="dxa"/>
            <w:tcBorders>
              <w:left w:val="single" w:color="auto" w:sz="6" w:space="0"/>
              <w:right w:val="single" w:color="auto" w:sz="6" w:space="0"/>
            </w:tcBorders>
            <w:vAlign w:val="center"/>
          </w:tcPr>
          <w:p>
            <w:pPr>
              <w:ind w:firstLine="840" w:firstLineChars="350"/>
              <w:rPr>
                <w:rFonts w:ascii="FangSong_GB2312" w:eastAsia="FangSong_GB2312"/>
                <w:sz w:val="24"/>
              </w:rPr>
            </w:pPr>
            <w:r>
              <w:rPr>
                <w:rFonts w:hint="eastAsia" w:ascii="FangSong_GB2312" w:hAnsi="宋体" w:eastAsia="FangSong_GB2312"/>
                <w:sz w:val="24"/>
              </w:rPr>
              <w:t>万元</w:t>
            </w:r>
          </w:p>
        </w:tc>
        <w:tc>
          <w:tcPr>
            <w:tcW w:w="1533" w:type="dxa"/>
            <w:tcBorders>
              <w:left w:val="single" w:color="auto" w:sz="6" w:space="0"/>
              <w:right w:val="single" w:color="auto" w:sz="6" w:space="0"/>
            </w:tcBorders>
            <w:vAlign w:val="center"/>
          </w:tcPr>
          <w:p>
            <w:pPr>
              <w:rPr>
                <w:rFonts w:ascii="FangSong_GB2312" w:eastAsia="FangSong_GB2312"/>
                <w:sz w:val="24"/>
              </w:rPr>
            </w:pPr>
            <w:r>
              <w:rPr>
                <w:rFonts w:hint="eastAsia" w:ascii="FangSong_GB2312" w:eastAsia="FangSong_GB2312"/>
                <w:sz w:val="24"/>
              </w:rPr>
              <w:t>市股权投资基金出资比例</w:t>
            </w:r>
          </w:p>
        </w:tc>
        <w:tc>
          <w:tcPr>
            <w:tcW w:w="1302" w:type="dxa"/>
            <w:gridSpan w:val="2"/>
            <w:tcBorders>
              <w:left w:val="single" w:color="auto" w:sz="6" w:space="0"/>
              <w:right w:val="single" w:color="auto" w:sz="6" w:space="0"/>
            </w:tcBorders>
            <w:vAlign w:val="center"/>
          </w:tcPr>
          <w:p>
            <w:pPr>
              <w:ind w:firstLine="720" w:firstLineChars="300"/>
              <w:rPr>
                <w:rFonts w:ascii="FangSong_GB2312" w:hAnsi="宋体" w:eastAsia="FangSong_GB2312"/>
                <w:sz w:val="24"/>
              </w:rPr>
            </w:pPr>
            <w:r>
              <w:rPr>
                <w:rFonts w:ascii="FangSong_GB2312" w:hAnsi="宋体" w:eastAsia="FangSong_GB2312"/>
                <w:sz w:val="24"/>
              </w:rPr>
              <w:t>%</w:t>
            </w:r>
          </w:p>
        </w:tc>
        <w:tc>
          <w:tcPr>
            <w:tcW w:w="1689" w:type="dxa"/>
            <w:gridSpan w:val="2"/>
            <w:tcBorders>
              <w:left w:val="single" w:color="auto" w:sz="6" w:space="0"/>
              <w:right w:val="single" w:color="auto" w:sz="6" w:space="0"/>
            </w:tcBorders>
            <w:vAlign w:val="center"/>
          </w:tcPr>
          <w:p>
            <w:pPr>
              <w:rPr>
                <w:rFonts w:ascii="FangSong_GB2312" w:eastAsia="FangSong_GB2312"/>
                <w:sz w:val="24"/>
              </w:rPr>
            </w:pPr>
            <w:r>
              <w:rPr>
                <w:rFonts w:hint="eastAsia" w:ascii="FangSong_GB2312" w:eastAsia="FangSong_GB2312"/>
                <w:sz w:val="24"/>
              </w:rPr>
              <w:t>计划结束</w:t>
            </w:r>
          </w:p>
          <w:p>
            <w:pPr>
              <w:rPr>
                <w:rFonts w:ascii="FangSong_GB2312" w:eastAsia="FangSong_GB2312"/>
                <w:sz w:val="24"/>
              </w:rPr>
            </w:pPr>
            <w:r>
              <w:rPr>
                <w:rFonts w:hint="eastAsia" w:ascii="FangSong_GB2312" w:eastAsia="FangSong_GB2312"/>
                <w:sz w:val="24"/>
              </w:rPr>
              <w:t>募集时间</w:t>
            </w:r>
          </w:p>
        </w:tc>
        <w:tc>
          <w:tcPr>
            <w:tcW w:w="2069" w:type="dxa"/>
            <w:tcBorders>
              <w:left w:val="single" w:color="auto" w:sz="6" w:space="0"/>
            </w:tcBorders>
            <w:vAlign w:val="center"/>
          </w:tcPr>
          <w:p>
            <w:pPr>
              <w:jc w:val="center"/>
              <w:rPr>
                <w:rFonts w:ascii="FangSong_GB2312" w:hAnsi="宋体" w:eastAsia="FangSong_GB2312"/>
                <w:sz w:val="24"/>
              </w:rPr>
            </w:pPr>
            <w:r>
              <w:rPr>
                <w:rFonts w:hint="eastAsia" w:ascii="FangSong_GB2312" w:hAnsi="宋体" w:eastAsia="FangSong_GB2312"/>
                <w:sz w:val="24"/>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553" w:hRule="atLeast"/>
        </w:trPr>
        <w:tc>
          <w:tcPr>
            <w:tcW w:w="9704" w:type="dxa"/>
            <w:gridSpan w:val="8"/>
            <w:vAlign w:val="center"/>
          </w:tcPr>
          <w:p>
            <w:pPr>
              <w:rPr>
                <w:rFonts w:ascii="FangSong_GB2312" w:hAnsi="宋体" w:eastAsia="FangSong_GB2312"/>
                <w:sz w:val="24"/>
              </w:rPr>
            </w:pPr>
            <w:r>
              <w:rPr>
                <w:rFonts w:hint="eastAsia" w:ascii="黑体" w:hAnsi="黑体" w:eastAsia="黑体"/>
                <w:sz w:val="24"/>
              </w:rPr>
              <w:t>三、拟申请哈尔滨市市级财政专项资金股权投资基金管理机构</w:t>
            </w: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546" w:hRule="atLeast"/>
        </w:trPr>
        <w:tc>
          <w:tcPr>
            <w:tcW w:w="1544" w:type="dxa"/>
            <w:tcBorders>
              <w:right w:val="single" w:color="auto" w:sz="6" w:space="0"/>
            </w:tcBorders>
            <w:vAlign w:val="center"/>
          </w:tcPr>
          <w:p>
            <w:pPr>
              <w:ind w:firstLine="16" w:firstLineChars="7"/>
              <w:rPr>
                <w:rFonts w:ascii="FangSong_GB2312" w:eastAsia="FangSong_GB2312"/>
                <w:sz w:val="24"/>
              </w:rPr>
            </w:pPr>
            <w:r>
              <w:rPr>
                <w:rFonts w:hint="eastAsia" w:ascii="FangSong_GB2312" w:eastAsia="FangSong_GB2312"/>
                <w:sz w:val="24"/>
              </w:rPr>
              <w:t>机构名称</w:t>
            </w:r>
          </w:p>
        </w:tc>
        <w:tc>
          <w:tcPr>
            <w:tcW w:w="4402" w:type="dxa"/>
            <w:gridSpan w:val="4"/>
            <w:tcBorders>
              <w:left w:val="single" w:color="auto" w:sz="6" w:space="0"/>
              <w:right w:val="single" w:color="auto" w:sz="6" w:space="0"/>
            </w:tcBorders>
            <w:vAlign w:val="center"/>
          </w:tcPr>
          <w:p>
            <w:pPr>
              <w:rPr>
                <w:rFonts w:ascii="FangSong_GB2312" w:eastAsia="FangSong_GB2312"/>
                <w:sz w:val="24"/>
              </w:rPr>
            </w:pPr>
          </w:p>
        </w:tc>
        <w:tc>
          <w:tcPr>
            <w:tcW w:w="1689" w:type="dxa"/>
            <w:gridSpan w:val="2"/>
            <w:tcBorders>
              <w:left w:val="single" w:color="auto" w:sz="6" w:space="0"/>
              <w:right w:val="single" w:color="auto" w:sz="6" w:space="0"/>
            </w:tcBorders>
            <w:vAlign w:val="center"/>
          </w:tcPr>
          <w:p>
            <w:pPr>
              <w:rPr>
                <w:rFonts w:ascii="FangSong_GB2312" w:eastAsia="FangSong_GB2312"/>
                <w:sz w:val="24"/>
              </w:rPr>
            </w:pPr>
            <w:r>
              <w:rPr>
                <w:rFonts w:hint="eastAsia" w:ascii="FangSong_GB2312" w:eastAsia="FangSong_GB2312"/>
                <w:sz w:val="24"/>
              </w:rPr>
              <w:t>组织形式</w:t>
            </w:r>
          </w:p>
        </w:tc>
        <w:tc>
          <w:tcPr>
            <w:tcW w:w="2069" w:type="dxa"/>
            <w:tcBorders>
              <w:left w:val="single" w:color="auto" w:sz="6" w:space="0"/>
            </w:tcBorders>
            <w:vAlign w:val="center"/>
          </w:tcPr>
          <w:p>
            <w:pPr>
              <w:rPr>
                <w:rFonts w:ascii="FangSong_GB2312" w:eastAsia="FangSong_GB2312"/>
                <w:sz w:val="24"/>
              </w:rPr>
            </w:pPr>
            <w:r>
              <w:rPr>
                <w:rFonts w:hint="eastAsia" w:ascii="FangSong_GB2312" w:eastAsia="FangSong_GB2312"/>
                <w:sz w:val="24"/>
              </w:rPr>
              <w:t>□公司制</w:t>
            </w:r>
          </w:p>
          <w:p>
            <w:pPr>
              <w:rPr>
                <w:rFonts w:ascii="FangSong_GB2312" w:hAnsi="宋体" w:eastAsia="FangSong_GB2312"/>
                <w:sz w:val="24"/>
              </w:rPr>
            </w:pPr>
            <w:r>
              <w:rPr>
                <w:rFonts w:hint="eastAsia" w:ascii="FangSong_GB2312" w:eastAsia="FangSong_GB2312"/>
                <w:sz w:val="24"/>
              </w:rPr>
              <w:t>□有限合伙制</w:t>
            </w: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340" w:hRule="atLeast"/>
        </w:trPr>
        <w:tc>
          <w:tcPr>
            <w:tcW w:w="1544" w:type="dxa"/>
            <w:tcBorders>
              <w:right w:val="single" w:color="auto" w:sz="6" w:space="0"/>
            </w:tcBorders>
            <w:vAlign w:val="center"/>
          </w:tcPr>
          <w:p>
            <w:pPr>
              <w:rPr>
                <w:rFonts w:ascii="FangSong_GB2312" w:eastAsia="FangSong_GB2312"/>
                <w:sz w:val="24"/>
              </w:rPr>
            </w:pPr>
            <w:r>
              <w:rPr>
                <w:rFonts w:hint="eastAsia" w:ascii="FangSong_GB2312" w:eastAsia="FangSong_GB2312"/>
                <w:sz w:val="24"/>
              </w:rPr>
              <w:t>注册地址</w:t>
            </w:r>
          </w:p>
          <w:p>
            <w:pPr>
              <w:rPr>
                <w:color w:val="FF0000"/>
              </w:rPr>
            </w:pPr>
          </w:p>
        </w:tc>
        <w:tc>
          <w:tcPr>
            <w:tcW w:w="4402" w:type="dxa"/>
            <w:gridSpan w:val="4"/>
            <w:tcBorders>
              <w:left w:val="single" w:color="auto" w:sz="6" w:space="0"/>
              <w:right w:val="single" w:color="auto" w:sz="6" w:space="0"/>
            </w:tcBorders>
            <w:vAlign w:val="center"/>
          </w:tcPr>
          <w:p>
            <w:pPr>
              <w:rPr>
                <w:rFonts w:ascii="FangSong_GB2312" w:eastAsia="FangSong_GB2312"/>
                <w:sz w:val="24"/>
              </w:rPr>
            </w:pPr>
          </w:p>
        </w:tc>
        <w:tc>
          <w:tcPr>
            <w:tcW w:w="1689" w:type="dxa"/>
            <w:gridSpan w:val="2"/>
            <w:tcBorders>
              <w:left w:val="single" w:color="auto" w:sz="6" w:space="0"/>
              <w:right w:val="single" w:color="auto" w:sz="6" w:space="0"/>
            </w:tcBorders>
            <w:vAlign w:val="center"/>
          </w:tcPr>
          <w:p>
            <w:pPr>
              <w:rPr>
                <w:rFonts w:ascii="FangSong_GB2312" w:eastAsia="FangSong_GB2312"/>
                <w:sz w:val="24"/>
              </w:rPr>
            </w:pPr>
            <w:r>
              <w:rPr>
                <w:rFonts w:hint="eastAsia" w:ascii="FangSong_GB2312" w:eastAsia="FangSong_GB2312"/>
                <w:sz w:val="24"/>
              </w:rPr>
              <w:t>法定代表人</w:t>
            </w:r>
            <w:r>
              <w:rPr>
                <w:rFonts w:ascii="FangSong_GB2312" w:eastAsia="FangSong_GB2312"/>
                <w:sz w:val="24"/>
              </w:rPr>
              <w:t>/</w:t>
            </w:r>
            <w:r>
              <w:rPr>
                <w:rFonts w:hint="eastAsia" w:ascii="FangSong_GB2312" w:eastAsia="FangSong_GB2312"/>
                <w:sz w:val="24"/>
              </w:rPr>
              <w:t>执行事务合伙人</w:t>
            </w:r>
          </w:p>
        </w:tc>
        <w:tc>
          <w:tcPr>
            <w:tcW w:w="2069" w:type="dxa"/>
            <w:tcBorders>
              <w:left w:val="single" w:color="auto" w:sz="6" w:space="0"/>
            </w:tcBorders>
            <w:vAlign w:val="center"/>
          </w:tcPr>
          <w:p>
            <w:pPr>
              <w:rPr>
                <w:rFonts w:ascii="FangSong_GB2312" w:eastAsia="FangSong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764" w:hRule="atLeast"/>
        </w:trPr>
        <w:tc>
          <w:tcPr>
            <w:tcW w:w="1544" w:type="dxa"/>
            <w:tcBorders>
              <w:right w:val="single" w:color="auto" w:sz="6" w:space="0"/>
            </w:tcBorders>
            <w:vAlign w:val="center"/>
          </w:tcPr>
          <w:p>
            <w:pPr>
              <w:rPr>
                <w:rFonts w:ascii="FangSong_GB2312" w:eastAsia="FangSong_GB2312"/>
                <w:sz w:val="24"/>
              </w:rPr>
            </w:pPr>
            <w:r>
              <w:rPr>
                <w:rFonts w:hint="eastAsia" w:ascii="FangSong_GB2312" w:eastAsia="FangSong_GB2312"/>
                <w:sz w:val="24"/>
              </w:rPr>
              <w:t>经营范围</w:t>
            </w:r>
          </w:p>
        </w:tc>
        <w:tc>
          <w:tcPr>
            <w:tcW w:w="4402" w:type="dxa"/>
            <w:gridSpan w:val="4"/>
            <w:tcBorders>
              <w:left w:val="single" w:color="auto" w:sz="6" w:space="0"/>
              <w:right w:val="single" w:color="auto" w:sz="6" w:space="0"/>
            </w:tcBorders>
            <w:vAlign w:val="center"/>
          </w:tcPr>
          <w:p>
            <w:pPr>
              <w:rPr>
                <w:rFonts w:ascii="FangSong_GB2312" w:eastAsia="FangSong_GB2312"/>
                <w:sz w:val="24"/>
              </w:rPr>
            </w:pPr>
          </w:p>
        </w:tc>
        <w:tc>
          <w:tcPr>
            <w:tcW w:w="1689" w:type="dxa"/>
            <w:gridSpan w:val="2"/>
            <w:tcBorders>
              <w:left w:val="single" w:color="auto" w:sz="6" w:space="0"/>
              <w:right w:val="single" w:color="auto" w:sz="6" w:space="0"/>
            </w:tcBorders>
            <w:vAlign w:val="center"/>
          </w:tcPr>
          <w:p>
            <w:pPr>
              <w:rPr>
                <w:rFonts w:ascii="FangSong_GB2312" w:eastAsia="FangSong_GB2312"/>
                <w:sz w:val="24"/>
              </w:rPr>
            </w:pPr>
            <w:r>
              <w:rPr>
                <w:rFonts w:hint="eastAsia" w:ascii="FangSong_GB2312" w:eastAsia="FangSong_GB2312"/>
                <w:sz w:val="24"/>
              </w:rPr>
              <w:t>注册资本</w:t>
            </w:r>
            <w:r>
              <w:rPr>
                <w:rFonts w:ascii="FangSong_GB2312" w:eastAsia="FangSong_GB2312"/>
                <w:sz w:val="24"/>
              </w:rPr>
              <w:t>/</w:t>
            </w:r>
            <w:r>
              <w:rPr>
                <w:rFonts w:hint="eastAsia" w:ascii="FangSong_GB2312" w:eastAsia="FangSong_GB2312"/>
                <w:sz w:val="24"/>
              </w:rPr>
              <w:t>认缴出资总额</w:t>
            </w:r>
          </w:p>
        </w:tc>
        <w:tc>
          <w:tcPr>
            <w:tcW w:w="2069" w:type="dxa"/>
            <w:tcBorders>
              <w:left w:val="single" w:color="auto" w:sz="6" w:space="0"/>
            </w:tcBorders>
            <w:vAlign w:val="center"/>
          </w:tcPr>
          <w:p>
            <w:pPr>
              <w:wordWrap w:val="0"/>
              <w:ind w:firstLine="960" w:firstLineChars="400"/>
              <w:rPr>
                <w:rFonts w:ascii="FangSong_GB2312" w:hAnsi="宋体" w:eastAsia="FangSong_GB2312"/>
                <w:sz w:val="24"/>
              </w:rPr>
            </w:pPr>
            <w:r>
              <w:rPr>
                <w:rFonts w:hint="eastAsia" w:ascii="FangSong_GB2312" w:hAnsi="宋体" w:eastAsia="FangSong_GB2312"/>
                <w:sz w:val="24"/>
              </w:rPr>
              <w:t>万元</w:t>
            </w:r>
          </w:p>
        </w:tc>
      </w:tr>
    </w:tbl>
    <w:p>
      <w:pPr>
        <w:widowControl/>
        <w:jc w:val="center"/>
        <w:rPr>
          <w:rFonts w:ascii="宋体" w:hAnsi="宋体"/>
          <w:b/>
          <w:sz w:val="36"/>
          <w:szCs w:val="36"/>
        </w:rPr>
      </w:pPr>
      <w:r>
        <w:rPr>
          <w:rFonts w:hint="eastAsia" w:ascii="宋体" w:hAnsi="宋体" w:cs="宋体"/>
          <w:b/>
          <w:sz w:val="36"/>
          <w:szCs w:val="36"/>
        </w:rPr>
        <w:t>申请机构登记表</w:t>
      </w:r>
    </w:p>
    <w:p>
      <w:pPr>
        <w:autoSpaceDN w:val="0"/>
        <w:snapToGrid w:val="0"/>
        <w:spacing w:afterLines="100" w:line="600" w:lineRule="exact"/>
        <w:rPr>
          <w:rFonts w:ascii="FangSong_GB2312" w:hAnsi="宋体" w:eastAsia="FangSong_GB2312" w:cs="宋体"/>
          <w:sz w:val="32"/>
          <w:szCs w:val="32"/>
        </w:rPr>
      </w:pPr>
      <w:r>
        <w:rPr>
          <w:rFonts w:hint="eastAsia" w:ascii="FangSong_GB2312" w:hAnsi="宋体" w:eastAsia="FangSong_GB2312"/>
          <w:sz w:val="32"/>
          <w:szCs w:val="32"/>
        </w:rPr>
        <w:t>附件4</w:t>
      </w:r>
    </w:p>
    <w:p>
      <w:pPr>
        <w:jc w:val="center"/>
        <w:rPr>
          <w:rFonts w:ascii="宋体" w:hAnsi="宋体"/>
        </w:rPr>
      </w:pPr>
      <w:r>
        <w:rPr>
          <w:rFonts w:hint="eastAsia" w:ascii="宋体" w:hAnsi="宋体"/>
          <w:b/>
          <w:sz w:val="44"/>
          <w:szCs w:val="44"/>
        </w:rPr>
        <w:t>哈尔滨市市级财政专项资金股权投资基金设立方案参考提纲</w:t>
      </w:r>
    </w:p>
    <w:p>
      <w:pPr>
        <w:rPr>
          <w:rFonts w:ascii="黑体" w:hAnsi="黑体" w:eastAsia="黑体"/>
          <w:sz w:val="32"/>
          <w:szCs w:val="32"/>
        </w:rPr>
      </w:pPr>
      <w:r>
        <w:rPr>
          <w:rFonts w:hint="eastAsia" w:ascii="黑体" w:hAnsi="黑体" w:eastAsia="黑体"/>
          <w:sz w:val="32"/>
          <w:szCs w:val="32"/>
        </w:rPr>
        <w:t>一、设立背景和目标</w:t>
      </w:r>
    </w:p>
    <w:p>
      <w:pPr>
        <w:rPr>
          <w:rFonts w:ascii="黑体" w:hAnsi="黑体" w:eastAsia="黑体"/>
          <w:sz w:val="32"/>
          <w:szCs w:val="32"/>
        </w:rPr>
      </w:pPr>
      <w:r>
        <w:rPr>
          <w:rFonts w:hint="eastAsia" w:ascii="黑体" w:hAnsi="黑体" w:eastAsia="黑体"/>
          <w:sz w:val="32"/>
          <w:szCs w:val="32"/>
        </w:rPr>
        <w:t>二、基金基本情况</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1、基金名称</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2、基金组织形式</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3、基金注册地址</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4、基金规模</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5、基金主发起人情况</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6、基金管理人情况</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7、基金管理团队情况</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8、基金出资人情况</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9、基金组织架构</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10、基金投资领域</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11、基金存续期限</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12、基金托管</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13、其他</w:t>
      </w:r>
    </w:p>
    <w:p>
      <w:pPr>
        <w:rPr>
          <w:rFonts w:ascii="黑体" w:hAnsi="黑体" w:eastAsia="黑体"/>
          <w:sz w:val="32"/>
          <w:szCs w:val="32"/>
        </w:rPr>
      </w:pPr>
      <w:r>
        <w:rPr>
          <w:rFonts w:hint="eastAsia" w:ascii="黑体" w:hAnsi="黑体" w:eastAsia="黑体"/>
          <w:sz w:val="32"/>
          <w:szCs w:val="32"/>
        </w:rPr>
        <w:t>三、基金募集</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1、基金募集进度计划及当前进度列表</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2、基金申请市股权投资基金规模及出资比例</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3、其他出资人出资金额及出资比例</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4、出资人（含市股权投资基金管理人）之间的股权、债权或亲属等关联关系说明</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5、已确认的出资人如有特殊诉求需予以说明</w:t>
      </w:r>
    </w:p>
    <w:p>
      <w:pPr>
        <w:rPr>
          <w:rFonts w:ascii="黑体" w:hAnsi="黑体" w:eastAsia="黑体"/>
          <w:sz w:val="32"/>
          <w:szCs w:val="32"/>
        </w:rPr>
      </w:pPr>
      <w:r>
        <w:rPr>
          <w:rFonts w:hint="eastAsia" w:ascii="黑体" w:hAnsi="黑体" w:eastAsia="黑体"/>
          <w:sz w:val="32"/>
          <w:szCs w:val="32"/>
        </w:rPr>
        <w:t>四、基金投资</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1、基金投资方向</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2、基金投资策略</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3、投资决策机制</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4、项目遴选标准</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5、拟投项目投资价值分析</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6、项目储备情况</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7、基金投资限制说明</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8、项目投后管理策略及增值服务</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9、投资退出渠道及退出机制</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10、基金潜在同业竞争的情况说明</w:t>
      </w:r>
    </w:p>
    <w:p>
      <w:pPr>
        <w:rPr>
          <w:rFonts w:ascii="黑体" w:hAnsi="黑体" w:eastAsia="黑体"/>
          <w:sz w:val="32"/>
          <w:szCs w:val="32"/>
        </w:rPr>
      </w:pPr>
      <w:r>
        <w:rPr>
          <w:rFonts w:hint="eastAsia" w:ascii="黑体" w:hAnsi="黑体" w:eastAsia="黑体"/>
          <w:sz w:val="32"/>
          <w:szCs w:val="32"/>
        </w:rPr>
        <w:t>五、基金管理</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1、基金股东会/合伙人大会、董事会权责划分</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2、基金管理人股东会、董事会权责划分</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3、基金投资决策委员会权责划分及议事规则</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4、基金风险防范制度</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5、基金关联交易表决机制</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6、基金拟实行的会计核算与财务管理制度</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7、基金止损机制</w:t>
      </w:r>
    </w:p>
    <w:p>
      <w:pPr>
        <w:rPr>
          <w:rFonts w:ascii="黑体" w:hAnsi="黑体" w:eastAsia="黑体"/>
          <w:sz w:val="32"/>
          <w:szCs w:val="32"/>
        </w:rPr>
      </w:pPr>
      <w:r>
        <w:rPr>
          <w:rFonts w:hint="eastAsia" w:ascii="黑体" w:hAnsi="黑体" w:eastAsia="黑体"/>
          <w:sz w:val="32"/>
          <w:szCs w:val="32"/>
        </w:rPr>
        <w:t>六、费用</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1、基金承担费用</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2、基金管理人承担费用</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3、基金管理费计提方法</w:t>
      </w:r>
    </w:p>
    <w:p>
      <w:pPr>
        <w:rPr>
          <w:rFonts w:ascii="黑体" w:hAnsi="黑体" w:eastAsia="黑体"/>
          <w:sz w:val="32"/>
          <w:szCs w:val="32"/>
        </w:rPr>
      </w:pPr>
      <w:r>
        <w:rPr>
          <w:rFonts w:hint="eastAsia" w:ascii="黑体" w:hAnsi="黑体" w:eastAsia="黑体"/>
          <w:sz w:val="32"/>
          <w:szCs w:val="32"/>
        </w:rPr>
        <w:t>七、基金收益分配与清算</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1、收益分配机制</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2、基金解散条件</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3、基金清算原则</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4、基金清算程序</w:t>
      </w:r>
    </w:p>
    <w:p>
      <w:pPr>
        <w:rPr>
          <w:rFonts w:ascii="FangSong_GB2312" w:hAnsi="宋体" w:eastAsia="FangSong_GB2312"/>
          <w:sz w:val="32"/>
          <w:szCs w:val="32"/>
        </w:rPr>
      </w:pPr>
    </w:p>
    <w:p>
      <w:pPr>
        <w:rPr>
          <w:rFonts w:ascii="FangSong_GB2312" w:hAnsi="宋体" w:eastAsia="FangSong_GB2312"/>
          <w:sz w:val="32"/>
          <w:szCs w:val="32"/>
        </w:rPr>
      </w:pPr>
    </w:p>
    <w:p>
      <w:pPr>
        <w:widowControl/>
        <w:jc w:val="left"/>
        <w:rPr>
          <w:rFonts w:ascii="FangSong_GB2312" w:hAnsi="宋体" w:eastAsia="FangSong_GB2312"/>
          <w:sz w:val="32"/>
          <w:szCs w:val="32"/>
        </w:rPr>
      </w:pPr>
      <w:r>
        <w:rPr>
          <w:rFonts w:ascii="FangSong_GB2312" w:hAnsi="宋体" w:eastAsia="FangSong_GB2312"/>
          <w:sz w:val="32"/>
          <w:szCs w:val="32"/>
        </w:rPr>
        <w:br w:type="page"/>
      </w:r>
    </w:p>
    <w:p>
      <w:pPr>
        <w:rPr>
          <w:rFonts w:ascii="FangSong_GB2312" w:hAnsi="宋体" w:eastAsia="FangSong_GB2312"/>
          <w:sz w:val="32"/>
          <w:szCs w:val="32"/>
        </w:rPr>
      </w:pPr>
      <w:r>
        <w:rPr>
          <w:rFonts w:hint="eastAsia" w:ascii="FangSong_GB2312" w:hAnsi="宋体" w:eastAsia="FangSong_GB2312"/>
          <w:sz w:val="32"/>
          <w:szCs w:val="32"/>
        </w:rPr>
        <w:t>附件5</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哈尔滨市市级财政专项资金股权投资基金申请材料清单</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一、股权投资管理机构或投资企业需提供材料</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（一）股权投资管理机构或投资企业申请作为市股权投资基金管理人，需提供以下材料：</w:t>
      </w:r>
    </w:p>
    <w:p>
      <w:pPr>
        <w:ind w:firstLine="707" w:firstLineChars="221"/>
        <w:rPr>
          <w:rFonts w:ascii="FangSong_GB2312" w:hAnsi="宋体" w:eastAsia="FangSong_GB2312"/>
          <w:sz w:val="32"/>
          <w:szCs w:val="32"/>
        </w:rPr>
      </w:pPr>
      <w:r>
        <w:rPr>
          <w:rFonts w:ascii="FangSong_GB2312" w:hAnsi="宋体" w:eastAsia="FangSong_GB2312"/>
          <w:sz w:val="32"/>
          <w:szCs w:val="32"/>
        </w:rPr>
        <w:t>1</w:t>
      </w:r>
      <w:r>
        <w:rPr>
          <w:rFonts w:hint="eastAsia" w:ascii="FangSong_GB2312" w:hAnsi="宋体" w:eastAsia="FangSong_GB2312"/>
          <w:sz w:val="32"/>
          <w:szCs w:val="32"/>
        </w:rPr>
        <w:t>、股权投资管理机构或投资企业历史沿革，股东出资情况，实缴资本证明文件，组织结构图，投资决策、风险控制、激励约束机制、关联交易等内部管理制度。</w:t>
      </w:r>
    </w:p>
    <w:p>
      <w:pPr>
        <w:ind w:firstLine="707" w:firstLineChars="221"/>
        <w:rPr>
          <w:rFonts w:ascii="FangSong_GB2312" w:hAnsi="宋体" w:eastAsia="FangSong_GB2312"/>
          <w:sz w:val="32"/>
          <w:szCs w:val="32"/>
        </w:rPr>
      </w:pPr>
      <w:r>
        <w:rPr>
          <w:rFonts w:ascii="FangSong_GB2312" w:hAnsi="宋体" w:eastAsia="FangSong_GB2312"/>
          <w:sz w:val="32"/>
          <w:szCs w:val="32"/>
        </w:rPr>
        <w:t>2</w:t>
      </w:r>
      <w:r>
        <w:rPr>
          <w:rFonts w:hint="eastAsia" w:ascii="FangSong_GB2312" w:hAnsi="宋体" w:eastAsia="FangSong_GB2312"/>
          <w:sz w:val="32"/>
          <w:szCs w:val="32"/>
        </w:rPr>
        <w:t>、股权投资管理机构或投资企业营业执照副本复印件、组织机构代码证复印件、税务登记证复印件、公司章程或合伙协议、企业信用报告、完税证明、固定办公场所的证明文件（房产证、租赁合同等）。</w:t>
      </w:r>
    </w:p>
    <w:p>
      <w:pPr>
        <w:ind w:firstLine="707" w:firstLineChars="221"/>
        <w:rPr>
          <w:rFonts w:ascii="FangSong_GB2312" w:hAnsi="宋体" w:eastAsia="FangSong_GB2312"/>
          <w:sz w:val="32"/>
          <w:szCs w:val="32"/>
        </w:rPr>
      </w:pPr>
      <w:r>
        <w:rPr>
          <w:rFonts w:ascii="FangSong_GB2312" w:hAnsi="宋体" w:eastAsia="FangSong_GB2312"/>
          <w:sz w:val="32"/>
          <w:szCs w:val="32"/>
        </w:rPr>
        <w:t>3</w:t>
      </w:r>
      <w:r>
        <w:rPr>
          <w:rFonts w:hint="eastAsia" w:ascii="FangSong_GB2312" w:hAnsi="宋体" w:eastAsia="FangSong_GB2312"/>
          <w:sz w:val="32"/>
          <w:szCs w:val="32"/>
        </w:rPr>
        <w:t>、股权投资管理机构或投资企业主要投资业绩（表</w:t>
      </w:r>
      <w:r>
        <w:rPr>
          <w:rFonts w:ascii="FangSong_GB2312" w:hAnsi="宋体" w:eastAsia="FangSong_GB2312"/>
          <w:sz w:val="32"/>
          <w:szCs w:val="32"/>
        </w:rPr>
        <w:t>1</w:t>
      </w:r>
      <w:r>
        <w:rPr>
          <w:rFonts w:hint="eastAsia" w:ascii="FangSong_GB2312" w:hAnsi="宋体" w:eastAsia="FangSong_GB2312"/>
          <w:sz w:val="32"/>
          <w:szCs w:val="32"/>
        </w:rPr>
        <w:t>），目前拟投资项目储备情况（表2）。</w:t>
      </w:r>
    </w:p>
    <w:p>
      <w:pPr>
        <w:ind w:firstLine="707" w:firstLineChars="221"/>
        <w:rPr>
          <w:rFonts w:ascii="FangSong_GB2312" w:hAnsi="宋体" w:eastAsia="FangSong_GB2312"/>
          <w:sz w:val="32"/>
          <w:szCs w:val="32"/>
        </w:rPr>
      </w:pPr>
      <w:r>
        <w:rPr>
          <w:rFonts w:ascii="FangSong_GB2312" w:hAnsi="宋体" w:eastAsia="FangSong_GB2312"/>
          <w:sz w:val="32"/>
          <w:szCs w:val="32"/>
        </w:rPr>
        <w:t>4</w:t>
      </w:r>
      <w:r>
        <w:rPr>
          <w:rFonts w:hint="eastAsia" w:ascii="FangSong_GB2312" w:hAnsi="宋体" w:eastAsia="FangSong_GB2312"/>
          <w:sz w:val="32"/>
          <w:szCs w:val="32"/>
        </w:rPr>
        <w:t>、股权投资管理机构或投资企业近三年审计报告及近三个月财务报表（股权投资管理机构或投资企业成立未满三年的，提供自成立之日起的审计报告和近三个月财务报表）。</w:t>
      </w:r>
    </w:p>
    <w:p>
      <w:pPr>
        <w:ind w:firstLine="707" w:firstLineChars="221"/>
        <w:rPr>
          <w:rFonts w:ascii="FangSong_GB2312" w:hAnsi="宋体" w:eastAsia="FangSong_GB2312"/>
          <w:sz w:val="32"/>
          <w:szCs w:val="32"/>
        </w:rPr>
      </w:pPr>
      <w:r>
        <w:rPr>
          <w:rFonts w:ascii="FangSong_GB2312" w:hAnsi="宋体" w:eastAsia="FangSong_GB2312"/>
          <w:sz w:val="32"/>
          <w:szCs w:val="32"/>
        </w:rPr>
        <w:t>5</w:t>
      </w:r>
      <w:r>
        <w:rPr>
          <w:rFonts w:hint="eastAsia" w:ascii="FangSong_GB2312" w:hAnsi="宋体" w:eastAsia="FangSong_GB2312"/>
          <w:sz w:val="32"/>
          <w:szCs w:val="32"/>
        </w:rPr>
        <w:t>、股权投资管理机构或投资企业有关诉讼、担保、其他或有风险事项说明及文件。</w:t>
      </w:r>
    </w:p>
    <w:p>
      <w:pPr>
        <w:ind w:firstLine="707" w:firstLineChars="221"/>
        <w:rPr>
          <w:rFonts w:ascii="FangSong_GB2312" w:hAnsi="宋体" w:eastAsia="FangSong_GB2312"/>
          <w:sz w:val="32"/>
          <w:szCs w:val="32"/>
        </w:rPr>
      </w:pPr>
      <w:r>
        <w:rPr>
          <w:rFonts w:ascii="FangSong_GB2312" w:hAnsi="宋体" w:eastAsia="FangSong_GB2312"/>
          <w:sz w:val="32"/>
          <w:szCs w:val="32"/>
        </w:rPr>
        <w:t>6</w:t>
      </w:r>
      <w:r>
        <w:rPr>
          <w:rFonts w:hint="eastAsia" w:ascii="FangSong_GB2312" w:hAnsi="宋体" w:eastAsia="FangSong_GB2312"/>
          <w:sz w:val="32"/>
          <w:szCs w:val="32"/>
        </w:rPr>
        <w:t>、最近五年内股权投资管理机构或投资企业及其工作人员无行政主管机关或司法机关处罚的不良记录的声明或承诺。</w:t>
      </w:r>
    </w:p>
    <w:p>
      <w:pPr>
        <w:ind w:firstLine="707" w:firstLineChars="221"/>
        <w:rPr>
          <w:rFonts w:ascii="FangSong_GB2312" w:hAnsi="宋体" w:eastAsia="FangSong_GB2312"/>
          <w:sz w:val="32"/>
          <w:szCs w:val="32"/>
        </w:rPr>
      </w:pPr>
      <w:r>
        <w:rPr>
          <w:rFonts w:ascii="FangSong_GB2312" w:hAnsi="宋体" w:eastAsia="FangSong_GB2312"/>
          <w:sz w:val="32"/>
          <w:szCs w:val="32"/>
        </w:rPr>
        <w:t>7</w:t>
      </w:r>
      <w:r>
        <w:rPr>
          <w:rFonts w:hint="eastAsia" w:ascii="FangSong_GB2312" w:hAnsi="宋体" w:eastAsia="FangSong_GB2312"/>
          <w:sz w:val="32"/>
          <w:szCs w:val="32"/>
        </w:rPr>
        <w:t>、股权投资管理机构或投资企业管理团队基本情况</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w:t>
      </w:r>
      <w:r>
        <w:rPr>
          <w:rFonts w:ascii="FangSong_GB2312" w:hAnsi="宋体" w:eastAsia="FangSong_GB2312"/>
          <w:sz w:val="32"/>
          <w:szCs w:val="32"/>
        </w:rPr>
        <w:t>1</w:t>
      </w:r>
      <w:r>
        <w:rPr>
          <w:rFonts w:hint="eastAsia" w:ascii="FangSong_GB2312" w:hAnsi="宋体" w:eastAsia="FangSong_GB2312"/>
          <w:sz w:val="32"/>
          <w:szCs w:val="32"/>
        </w:rPr>
        <w:t>）管理团队核心成员情况介绍；</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w:t>
      </w:r>
      <w:r>
        <w:rPr>
          <w:rFonts w:ascii="FangSong_GB2312" w:hAnsi="宋体" w:eastAsia="FangSong_GB2312"/>
          <w:sz w:val="32"/>
          <w:szCs w:val="32"/>
        </w:rPr>
        <w:t>2</w:t>
      </w:r>
      <w:r>
        <w:rPr>
          <w:rFonts w:hint="eastAsia" w:ascii="FangSong_GB2312" w:hAnsi="宋体" w:eastAsia="FangSong_GB2312"/>
          <w:sz w:val="32"/>
          <w:szCs w:val="32"/>
        </w:rPr>
        <w:t>）历史上管理基金的投资偏好：投资类型、地域范围、行业、规模、阶段等；</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3）管理团队主要投资业绩：管理团队成员成功募集股权投资基金情况（个数、金额、出资人名录及结构等），以及其他募资能力说明；先前基金的内部收益率；按时（包括延长期）完成基金退出的情况（包括到期项目退出比例、到期现金返回比例等）；IPO退出的情况及项目比例；被投资项目成功进行了后一次融资（且增值）的比例；历史上投资未达到年度盈亏平衡的项目的情况；</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w:t>
      </w:r>
      <w:r>
        <w:rPr>
          <w:rFonts w:ascii="FangSong_GB2312" w:hAnsi="宋体" w:eastAsia="FangSong_GB2312"/>
          <w:sz w:val="32"/>
          <w:szCs w:val="32"/>
        </w:rPr>
        <w:t>4</w:t>
      </w:r>
      <w:r>
        <w:rPr>
          <w:rFonts w:hint="eastAsia" w:ascii="FangSong_GB2312" w:hAnsi="宋体" w:eastAsia="FangSong_GB2312"/>
          <w:sz w:val="32"/>
          <w:szCs w:val="32"/>
        </w:rPr>
        <w:t>）主要已投资项目介绍（至少三个处于拟组建基金主投领域，其中至少一个失败案例），包括投资时项目企业概况、投资分析概要、投资金额和比例、资金到位证明、股权持有时间长度、投资阶段（轮次）、投资收益率、项目近期概况包括财务情况、联系人及联系方式等；</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w:t>
      </w:r>
      <w:r>
        <w:rPr>
          <w:rFonts w:ascii="FangSong_GB2312" w:hAnsi="宋体" w:eastAsia="FangSong_GB2312"/>
          <w:sz w:val="32"/>
          <w:szCs w:val="32"/>
        </w:rPr>
        <w:t>5</w:t>
      </w:r>
      <w:r>
        <w:rPr>
          <w:rFonts w:hint="eastAsia" w:ascii="FangSong_GB2312" w:hAnsi="宋体" w:eastAsia="FangSong_GB2312"/>
          <w:sz w:val="32"/>
          <w:szCs w:val="32"/>
        </w:rPr>
        <w:t>）主要团队成员身份证、学历证书、资格证书复印件，任职证明，业绩及所获荣誉等证明资料。</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（二）股权投资管理机构或投资企业委托、推举其他机构作为市股权投资基金管理人，除市股权投资基金管理人需提供（一）中所列材料外，股权投资管理机构或投资企业还需提供（一）中第</w:t>
      </w:r>
      <w:r>
        <w:rPr>
          <w:rFonts w:ascii="FangSong_GB2312" w:hAnsi="宋体" w:eastAsia="FangSong_GB2312"/>
          <w:sz w:val="32"/>
          <w:szCs w:val="32"/>
        </w:rPr>
        <w:t>1-6</w:t>
      </w:r>
      <w:r>
        <w:rPr>
          <w:rFonts w:hint="eastAsia" w:ascii="FangSong_GB2312" w:hAnsi="宋体" w:eastAsia="FangSong_GB2312"/>
          <w:sz w:val="32"/>
          <w:szCs w:val="32"/>
        </w:rPr>
        <w:t>项所列材料。</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（三）股权投资管理机构或投资企业发起设立市股权投资基金管理机构，除市股权投资基金管理人需提供（一）中第</w:t>
      </w:r>
      <w:r>
        <w:rPr>
          <w:rFonts w:ascii="FangSong_GB2312" w:hAnsi="宋体" w:eastAsia="FangSong_GB2312"/>
          <w:sz w:val="32"/>
          <w:szCs w:val="32"/>
        </w:rPr>
        <w:t>7</w:t>
      </w:r>
      <w:r>
        <w:rPr>
          <w:rFonts w:hint="eastAsia" w:ascii="FangSong_GB2312" w:hAnsi="宋体" w:eastAsia="FangSong_GB2312"/>
          <w:sz w:val="32"/>
          <w:szCs w:val="32"/>
        </w:rPr>
        <w:t>项所列材料外，股权投资管理机构或投资企业还需提供（一）中第</w:t>
      </w:r>
      <w:r>
        <w:rPr>
          <w:rFonts w:ascii="FangSong_GB2312" w:hAnsi="宋体" w:eastAsia="FangSong_GB2312"/>
          <w:sz w:val="32"/>
          <w:szCs w:val="32"/>
        </w:rPr>
        <w:t>1-6</w:t>
      </w:r>
      <w:r>
        <w:rPr>
          <w:rFonts w:hint="eastAsia" w:ascii="FangSong_GB2312" w:hAnsi="宋体" w:eastAsia="FangSong_GB2312"/>
          <w:sz w:val="32"/>
          <w:szCs w:val="32"/>
        </w:rPr>
        <w:t>项所列材料。</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二、哈尔滨市市级财政专项资金股权投资基金（筹）需提供材料</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（一）基金章程或合伙协议（草案）</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（二）基金委托管理协议（草案）</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（三）基金资金托管协议（草案）</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三、出资人需提供材料</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（一）出资人出资承诺函，出资人如为法人，请提供法人机构关于基金出资的股东会决议等相关文件。</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（二）出资人如为法人，请提供最近一年审计报告；如为自然人，请提供出资能力证明。</w:t>
      </w:r>
    </w:p>
    <w:p>
      <w:pPr>
        <w:ind w:firstLine="707" w:firstLineChars="221"/>
        <w:rPr>
          <w:rFonts w:ascii="FangSong_GB2312" w:hAnsi="宋体" w:eastAsia="FangSong_GB2312"/>
          <w:sz w:val="32"/>
          <w:szCs w:val="32"/>
        </w:rPr>
      </w:pPr>
      <w:r>
        <w:rPr>
          <w:rFonts w:hint="eastAsia" w:ascii="FangSong_GB2312" w:hAnsi="宋体" w:eastAsia="FangSong_GB2312"/>
          <w:sz w:val="32"/>
          <w:szCs w:val="32"/>
        </w:rPr>
        <w:t>（三）受监管部门监管或审批的出资人，应在申报材料中详细说明相关监管事项和对审批时间的预估情况。</w:t>
      </w:r>
    </w:p>
    <w:p>
      <w:pPr>
        <w:ind w:firstLine="707" w:firstLineChars="221"/>
        <w:rPr>
          <w:rFonts w:ascii="FangSong_GB2312" w:hAnsi="宋体" w:eastAsia="FangSong_GB2312"/>
          <w:sz w:val="32"/>
          <w:szCs w:val="32"/>
        </w:rPr>
      </w:pPr>
    </w:p>
    <w:p>
      <w:pPr>
        <w:ind w:firstLine="707" w:firstLineChars="221"/>
        <w:rPr>
          <w:rFonts w:ascii="FangSong_GB2312" w:hAnsi="宋体" w:eastAsia="FangSong_GB2312"/>
          <w:sz w:val="32"/>
          <w:szCs w:val="32"/>
        </w:rPr>
        <w:sectPr>
          <w:footerReference r:id="rId3" w:type="default"/>
          <w:footerReference r:id="rId4" w:type="even"/>
          <w:pgSz w:w="11906" w:h="16838"/>
          <w:pgMar w:top="1440" w:right="1800" w:bottom="1440" w:left="1800" w:header="851" w:footer="992" w:gutter="0"/>
          <w:cols w:space="425" w:num="1"/>
          <w:docGrid w:type="lines" w:linePitch="312" w:charSpace="0"/>
        </w:sectPr>
      </w:pPr>
    </w:p>
    <w:p>
      <w:pPr>
        <w:autoSpaceDE w:val="0"/>
        <w:autoSpaceDN w:val="0"/>
        <w:adjustRightInd w:val="0"/>
        <w:jc w:val="left"/>
        <w:rPr>
          <w:rFonts w:ascii="仿宋" w:hAnsi="仿宋" w:eastAsia="仿宋" w:cs="?????"/>
          <w:kern w:val="0"/>
          <w:sz w:val="32"/>
          <w:szCs w:val="32"/>
        </w:rPr>
      </w:pPr>
      <w:r>
        <w:rPr>
          <w:rFonts w:hint="eastAsia" w:ascii="仿宋" w:hAnsi="仿宋" w:eastAsia="仿宋" w:cs="宋体"/>
          <w:kern w:val="0"/>
          <w:sz w:val="32"/>
          <w:szCs w:val="32"/>
          <w:lang w:val="zh-CN"/>
        </w:rPr>
        <w:t>表</w:t>
      </w:r>
      <w:r>
        <w:rPr>
          <w:rFonts w:ascii="仿宋" w:hAnsi="仿宋" w:eastAsia="仿宋" w:cs="?????"/>
          <w:kern w:val="0"/>
          <w:sz w:val="32"/>
          <w:szCs w:val="32"/>
        </w:rPr>
        <w:t>1</w:t>
      </w:r>
    </w:p>
    <w:p>
      <w:pPr>
        <w:autoSpaceDE w:val="0"/>
        <w:autoSpaceDN w:val="0"/>
        <w:adjustRightInd w:val="0"/>
        <w:jc w:val="center"/>
        <w:rPr>
          <w:rFonts w:cs="??????" w:asciiTheme="majorEastAsia" w:hAnsiTheme="majorEastAsia" w:eastAsiaTheme="majorEastAsia"/>
          <w:kern w:val="0"/>
          <w:sz w:val="44"/>
          <w:szCs w:val="44"/>
        </w:rPr>
      </w:pPr>
      <w:r>
        <w:rPr>
          <w:rFonts w:hint="eastAsia" w:asciiTheme="majorEastAsia" w:hAnsiTheme="majorEastAsia" w:eastAsiaTheme="majorEastAsia"/>
          <w:b/>
          <w:sz w:val="44"/>
          <w:szCs w:val="44"/>
        </w:rPr>
        <w:t>股权投资管理机构或投资企业主要投资业绩</w:t>
      </w:r>
    </w:p>
    <w:tbl>
      <w:tblPr>
        <w:tblStyle w:val="3"/>
        <w:tblW w:w="0" w:type="auto"/>
        <w:tblInd w:w="2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0"/>
        <w:gridCol w:w="540"/>
        <w:gridCol w:w="540"/>
        <w:gridCol w:w="560"/>
        <w:gridCol w:w="580"/>
        <w:gridCol w:w="640"/>
        <w:gridCol w:w="640"/>
        <w:gridCol w:w="920"/>
        <w:gridCol w:w="1080"/>
        <w:gridCol w:w="820"/>
        <w:gridCol w:w="1080"/>
        <w:gridCol w:w="860"/>
        <w:gridCol w:w="700"/>
        <w:gridCol w:w="1080"/>
        <w:gridCol w:w="1080"/>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trPr>
        <w:tc>
          <w:tcPr>
            <w:tcW w:w="640" w:type="dxa"/>
            <w:shd w:val="clear" w:color="000000" w:fill="FFFFFF"/>
            <w:vAlign w:val="center"/>
          </w:tcPr>
          <w:p>
            <w:pPr>
              <w:autoSpaceDE w:val="0"/>
              <w:autoSpaceDN w:val="0"/>
              <w:adjustRightInd w:val="0"/>
              <w:jc w:val="center"/>
              <w:rPr>
                <w:rFonts w:ascii="仿宋" w:hAnsi="仿宋" w:eastAsia="仿宋" w:cs="宋体"/>
                <w:kern w:val="0"/>
                <w:sz w:val="24"/>
                <w:lang w:val="zh-CN"/>
              </w:rPr>
            </w:pPr>
            <w:r>
              <w:rPr>
                <w:rFonts w:hint="eastAsia" w:ascii="仿宋" w:hAnsi="仿宋" w:eastAsia="仿宋" w:cs="宋体"/>
                <w:color w:val="000000"/>
                <w:kern w:val="0"/>
                <w:sz w:val="24"/>
                <w:lang w:val="zh-CN"/>
              </w:rPr>
              <w:t>序号</w:t>
            </w:r>
          </w:p>
        </w:tc>
        <w:tc>
          <w:tcPr>
            <w:tcW w:w="540" w:type="dxa"/>
            <w:shd w:val="clear" w:color="000000" w:fill="FFFFFF"/>
            <w:vAlign w:val="center"/>
          </w:tcPr>
          <w:p>
            <w:pPr>
              <w:autoSpaceDE w:val="0"/>
              <w:autoSpaceDN w:val="0"/>
              <w:adjustRightInd w:val="0"/>
              <w:jc w:val="center"/>
              <w:rPr>
                <w:rFonts w:ascii="仿宋" w:hAnsi="仿宋" w:eastAsia="仿宋" w:cs="宋体"/>
                <w:kern w:val="0"/>
                <w:sz w:val="24"/>
                <w:lang w:val="zh-CN"/>
              </w:rPr>
            </w:pPr>
            <w:r>
              <w:rPr>
                <w:rFonts w:hint="eastAsia" w:ascii="仿宋" w:hAnsi="仿宋" w:eastAsia="仿宋" w:cs="宋体"/>
                <w:color w:val="000000"/>
                <w:kern w:val="0"/>
                <w:sz w:val="24"/>
                <w:lang w:val="zh-CN"/>
              </w:rPr>
              <w:t>项目名称</w:t>
            </w:r>
          </w:p>
        </w:tc>
        <w:tc>
          <w:tcPr>
            <w:tcW w:w="540" w:type="dxa"/>
            <w:shd w:val="clear" w:color="000000" w:fill="FFFFFF"/>
            <w:vAlign w:val="center"/>
          </w:tcPr>
          <w:p>
            <w:pPr>
              <w:autoSpaceDE w:val="0"/>
              <w:autoSpaceDN w:val="0"/>
              <w:adjustRightInd w:val="0"/>
              <w:jc w:val="center"/>
              <w:rPr>
                <w:rFonts w:ascii="仿宋" w:hAnsi="仿宋" w:eastAsia="仿宋" w:cs="宋体"/>
                <w:kern w:val="0"/>
                <w:sz w:val="24"/>
                <w:lang w:val="zh-CN"/>
              </w:rPr>
            </w:pPr>
            <w:r>
              <w:rPr>
                <w:rFonts w:hint="eastAsia" w:ascii="仿宋" w:hAnsi="仿宋" w:eastAsia="仿宋" w:cs="宋体"/>
                <w:color w:val="000000"/>
                <w:kern w:val="0"/>
                <w:sz w:val="24"/>
                <w:lang w:val="zh-CN"/>
              </w:rPr>
              <w:t>行业</w:t>
            </w:r>
          </w:p>
        </w:tc>
        <w:tc>
          <w:tcPr>
            <w:tcW w:w="560" w:type="dxa"/>
            <w:shd w:val="clear" w:color="000000" w:fill="FFFFFF"/>
            <w:vAlign w:val="center"/>
          </w:tcPr>
          <w:p>
            <w:pPr>
              <w:autoSpaceDE w:val="0"/>
              <w:autoSpaceDN w:val="0"/>
              <w:adjustRightInd w:val="0"/>
              <w:jc w:val="center"/>
              <w:rPr>
                <w:rFonts w:ascii="仿宋" w:hAnsi="仿宋" w:eastAsia="仿宋" w:cs="宋体"/>
                <w:kern w:val="0"/>
                <w:sz w:val="24"/>
                <w:lang w:val="zh-CN"/>
              </w:rPr>
            </w:pPr>
            <w:r>
              <w:rPr>
                <w:rFonts w:hint="eastAsia" w:ascii="仿宋" w:hAnsi="仿宋" w:eastAsia="仿宋" w:cs="宋体"/>
                <w:color w:val="000000"/>
                <w:kern w:val="0"/>
                <w:sz w:val="24"/>
                <w:lang w:val="zh-CN"/>
              </w:rPr>
              <w:t>投资时间</w:t>
            </w:r>
          </w:p>
        </w:tc>
        <w:tc>
          <w:tcPr>
            <w:tcW w:w="580" w:type="dxa"/>
            <w:shd w:val="clear" w:color="000000" w:fill="FFFFFF"/>
            <w:vAlign w:val="center"/>
          </w:tcPr>
          <w:p>
            <w:pPr>
              <w:autoSpaceDE w:val="0"/>
              <w:autoSpaceDN w:val="0"/>
              <w:adjustRightInd w:val="0"/>
              <w:jc w:val="center"/>
              <w:rPr>
                <w:rFonts w:ascii="仿宋" w:hAnsi="仿宋" w:eastAsia="仿宋" w:cs="宋体"/>
                <w:kern w:val="0"/>
                <w:sz w:val="24"/>
                <w:lang w:val="zh-CN"/>
              </w:rPr>
            </w:pPr>
            <w:r>
              <w:rPr>
                <w:rFonts w:hint="eastAsia" w:ascii="仿宋" w:hAnsi="仿宋" w:eastAsia="仿宋" w:cs="宋体"/>
                <w:color w:val="000000"/>
                <w:kern w:val="0"/>
                <w:sz w:val="24"/>
                <w:lang w:val="zh-CN"/>
              </w:rPr>
              <w:t>投资轮次</w:t>
            </w:r>
          </w:p>
        </w:tc>
        <w:tc>
          <w:tcPr>
            <w:tcW w:w="640" w:type="dxa"/>
            <w:shd w:val="clear" w:color="000000" w:fill="FFFFFF"/>
            <w:vAlign w:val="center"/>
          </w:tcPr>
          <w:p>
            <w:pPr>
              <w:autoSpaceDE w:val="0"/>
              <w:autoSpaceDN w:val="0"/>
              <w:adjustRightInd w:val="0"/>
              <w:jc w:val="center"/>
              <w:rPr>
                <w:rFonts w:ascii="仿宋" w:hAnsi="仿宋" w:eastAsia="仿宋" w:cs="宋体"/>
                <w:kern w:val="0"/>
                <w:sz w:val="24"/>
                <w:lang w:val="zh-CN"/>
              </w:rPr>
            </w:pPr>
            <w:r>
              <w:rPr>
                <w:rFonts w:hint="eastAsia" w:ascii="仿宋" w:hAnsi="仿宋" w:eastAsia="仿宋" w:cs="宋体"/>
                <w:color w:val="000000"/>
                <w:kern w:val="0"/>
                <w:sz w:val="24"/>
                <w:lang w:val="zh-CN"/>
              </w:rPr>
              <w:t>投资金额</w:t>
            </w:r>
          </w:p>
        </w:tc>
        <w:tc>
          <w:tcPr>
            <w:tcW w:w="640" w:type="dxa"/>
            <w:shd w:val="clear" w:color="000000" w:fill="FFFFFF"/>
            <w:vAlign w:val="center"/>
          </w:tcPr>
          <w:p>
            <w:pPr>
              <w:autoSpaceDE w:val="0"/>
              <w:autoSpaceDN w:val="0"/>
              <w:adjustRightInd w:val="0"/>
              <w:jc w:val="center"/>
              <w:rPr>
                <w:rFonts w:ascii="仿宋" w:hAnsi="仿宋" w:eastAsia="仿宋" w:cs="宋体"/>
                <w:kern w:val="0"/>
                <w:sz w:val="24"/>
                <w:lang w:val="zh-CN"/>
              </w:rPr>
            </w:pPr>
            <w:r>
              <w:rPr>
                <w:rFonts w:hint="eastAsia" w:ascii="仿宋" w:hAnsi="仿宋" w:eastAsia="仿宋" w:cs="宋体"/>
                <w:color w:val="000000"/>
                <w:kern w:val="0"/>
                <w:sz w:val="24"/>
                <w:lang w:val="zh-CN"/>
              </w:rPr>
              <w:t>占股比例</w:t>
            </w:r>
          </w:p>
        </w:tc>
        <w:tc>
          <w:tcPr>
            <w:tcW w:w="920" w:type="dxa"/>
            <w:shd w:val="clear" w:color="000000" w:fill="FFFFFF"/>
            <w:vAlign w:val="center"/>
          </w:tcPr>
          <w:p>
            <w:pPr>
              <w:autoSpaceDE w:val="0"/>
              <w:autoSpaceDN w:val="0"/>
              <w:adjustRightInd w:val="0"/>
              <w:jc w:val="center"/>
              <w:rPr>
                <w:rFonts w:ascii="仿宋" w:hAnsi="仿宋" w:eastAsia="仿宋" w:cs="?????"/>
                <w:color w:val="000000"/>
                <w:kern w:val="0"/>
                <w:sz w:val="24"/>
              </w:rPr>
            </w:pPr>
            <w:r>
              <w:rPr>
                <w:rFonts w:hint="eastAsia" w:ascii="仿宋" w:hAnsi="仿宋" w:eastAsia="仿宋" w:cs="宋体"/>
                <w:color w:val="000000"/>
                <w:kern w:val="0"/>
                <w:sz w:val="24"/>
                <w:lang w:val="zh-CN"/>
              </w:rPr>
              <w:t>是否</w:t>
            </w:r>
          </w:p>
          <w:p>
            <w:pPr>
              <w:autoSpaceDE w:val="0"/>
              <w:autoSpaceDN w:val="0"/>
              <w:adjustRightInd w:val="0"/>
              <w:jc w:val="center"/>
              <w:rPr>
                <w:rFonts w:ascii="仿宋" w:hAnsi="仿宋" w:eastAsia="仿宋" w:cs="宋体"/>
                <w:kern w:val="0"/>
                <w:sz w:val="24"/>
                <w:lang w:val="zh-CN"/>
              </w:rPr>
            </w:pPr>
            <w:r>
              <w:rPr>
                <w:rFonts w:hint="eastAsia" w:ascii="仿宋" w:hAnsi="仿宋" w:eastAsia="仿宋" w:cs="宋体"/>
                <w:color w:val="000000"/>
                <w:kern w:val="0"/>
                <w:sz w:val="24"/>
                <w:lang w:val="zh-CN"/>
              </w:rPr>
              <w:t>领投</w:t>
            </w:r>
          </w:p>
        </w:tc>
        <w:tc>
          <w:tcPr>
            <w:tcW w:w="1080" w:type="dxa"/>
            <w:shd w:val="clear" w:color="000000" w:fill="FFFFFF"/>
            <w:vAlign w:val="center"/>
          </w:tcPr>
          <w:p>
            <w:pPr>
              <w:autoSpaceDE w:val="0"/>
              <w:autoSpaceDN w:val="0"/>
              <w:adjustRightInd w:val="0"/>
              <w:jc w:val="center"/>
              <w:rPr>
                <w:rFonts w:ascii="仿宋" w:hAnsi="仿宋" w:eastAsia="仿宋" w:cs="?????"/>
                <w:color w:val="000000"/>
                <w:kern w:val="0"/>
                <w:sz w:val="24"/>
              </w:rPr>
            </w:pPr>
            <w:r>
              <w:rPr>
                <w:rFonts w:hint="eastAsia" w:ascii="仿宋" w:hAnsi="仿宋" w:eastAsia="仿宋" w:cs="宋体"/>
                <w:color w:val="000000"/>
                <w:kern w:val="0"/>
                <w:sz w:val="24"/>
                <w:lang w:val="zh-CN"/>
              </w:rPr>
              <w:t>派出</w:t>
            </w:r>
          </w:p>
          <w:p>
            <w:pPr>
              <w:autoSpaceDE w:val="0"/>
              <w:autoSpaceDN w:val="0"/>
              <w:adjustRightInd w:val="0"/>
              <w:jc w:val="center"/>
              <w:rPr>
                <w:rFonts w:ascii="仿宋" w:hAnsi="仿宋" w:eastAsia="仿宋" w:cs="宋体"/>
                <w:kern w:val="0"/>
                <w:sz w:val="24"/>
                <w:lang w:val="zh-CN"/>
              </w:rPr>
            </w:pPr>
            <w:r>
              <w:rPr>
                <w:rFonts w:hint="eastAsia" w:ascii="仿宋" w:hAnsi="仿宋" w:eastAsia="仿宋" w:cs="宋体"/>
                <w:color w:val="000000"/>
                <w:kern w:val="0"/>
                <w:sz w:val="24"/>
                <w:lang w:val="zh-CN"/>
              </w:rPr>
              <w:t>董事</w:t>
            </w:r>
          </w:p>
        </w:tc>
        <w:tc>
          <w:tcPr>
            <w:tcW w:w="820" w:type="dxa"/>
            <w:shd w:val="clear" w:color="000000" w:fill="FFFFFF"/>
            <w:vAlign w:val="center"/>
          </w:tcPr>
          <w:p>
            <w:pPr>
              <w:autoSpaceDE w:val="0"/>
              <w:autoSpaceDN w:val="0"/>
              <w:adjustRightInd w:val="0"/>
              <w:jc w:val="center"/>
              <w:rPr>
                <w:rFonts w:ascii="仿宋" w:hAnsi="仿宋" w:eastAsia="仿宋" w:cs="宋体"/>
                <w:kern w:val="0"/>
                <w:sz w:val="24"/>
                <w:lang w:val="zh-CN"/>
              </w:rPr>
            </w:pPr>
            <w:r>
              <w:rPr>
                <w:rFonts w:hint="eastAsia" w:ascii="仿宋" w:hAnsi="仿宋" w:eastAsia="仿宋" w:cs="宋体"/>
                <w:color w:val="000000"/>
                <w:kern w:val="0"/>
                <w:sz w:val="24"/>
                <w:lang w:val="zh-CN"/>
              </w:rPr>
              <w:t>是否派出、招聘高管</w:t>
            </w:r>
          </w:p>
        </w:tc>
        <w:tc>
          <w:tcPr>
            <w:tcW w:w="1080" w:type="dxa"/>
            <w:shd w:val="clear" w:color="000000" w:fill="FFFFFF"/>
            <w:vAlign w:val="center"/>
          </w:tcPr>
          <w:p>
            <w:pPr>
              <w:autoSpaceDE w:val="0"/>
              <w:autoSpaceDN w:val="0"/>
              <w:adjustRightInd w:val="0"/>
              <w:jc w:val="center"/>
              <w:rPr>
                <w:rFonts w:ascii="仿宋" w:hAnsi="仿宋" w:eastAsia="仿宋" w:cs="宋体"/>
                <w:kern w:val="0"/>
                <w:sz w:val="24"/>
                <w:lang w:val="zh-CN"/>
              </w:rPr>
            </w:pPr>
            <w:r>
              <w:rPr>
                <w:rFonts w:hint="eastAsia" w:ascii="仿宋" w:hAnsi="仿宋" w:eastAsia="仿宋" w:cs="宋体"/>
                <w:color w:val="000000"/>
                <w:kern w:val="0"/>
                <w:sz w:val="24"/>
                <w:lang w:val="zh-CN"/>
              </w:rPr>
              <w:t>投资是否在盈亏平衡点后</w:t>
            </w:r>
          </w:p>
        </w:tc>
        <w:tc>
          <w:tcPr>
            <w:tcW w:w="860" w:type="dxa"/>
            <w:shd w:val="clear" w:color="000000" w:fill="FFFFFF"/>
            <w:vAlign w:val="center"/>
          </w:tcPr>
          <w:p>
            <w:pPr>
              <w:autoSpaceDE w:val="0"/>
              <w:autoSpaceDN w:val="0"/>
              <w:adjustRightInd w:val="0"/>
              <w:jc w:val="center"/>
              <w:rPr>
                <w:rFonts w:ascii="仿宋" w:hAnsi="仿宋" w:eastAsia="仿宋" w:cs="宋体"/>
                <w:kern w:val="0"/>
                <w:sz w:val="24"/>
                <w:lang w:val="zh-CN"/>
              </w:rPr>
            </w:pPr>
            <w:r>
              <w:rPr>
                <w:rFonts w:hint="eastAsia" w:ascii="仿宋" w:hAnsi="仿宋" w:eastAsia="仿宋" w:cs="宋体"/>
                <w:color w:val="000000"/>
                <w:kern w:val="0"/>
                <w:sz w:val="24"/>
                <w:lang w:val="zh-CN"/>
              </w:rPr>
              <w:t>投资退出时间</w:t>
            </w:r>
          </w:p>
        </w:tc>
        <w:tc>
          <w:tcPr>
            <w:tcW w:w="700" w:type="dxa"/>
            <w:shd w:val="clear" w:color="000000" w:fill="FFFFFF"/>
            <w:vAlign w:val="center"/>
          </w:tcPr>
          <w:p>
            <w:pPr>
              <w:autoSpaceDE w:val="0"/>
              <w:autoSpaceDN w:val="0"/>
              <w:adjustRightInd w:val="0"/>
              <w:jc w:val="center"/>
              <w:rPr>
                <w:rFonts w:ascii="仿宋" w:hAnsi="仿宋" w:eastAsia="仿宋" w:cs="宋体"/>
                <w:kern w:val="0"/>
                <w:sz w:val="24"/>
                <w:lang w:val="zh-CN"/>
              </w:rPr>
            </w:pPr>
            <w:r>
              <w:rPr>
                <w:rFonts w:hint="eastAsia" w:ascii="仿宋" w:hAnsi="仿宋" w:eastAsia="仿宋" w:cs="宋体"/>
                <w:color w:val="000000"/>
                <w:kern w:val="0"/>
                <w:sz w:val="24"/>
                <w:lang w:val="zh-CN"/>
              </w:rPr>
              <w:t>退出方式</w:t>
            </w:r>
          </w:p>
        </w:tc>
        <w:tc>
          <w:tcPr>
            <w:tcW w:w="1080" w:type="dxa"/>
            <w:shd w:val="clear" w:color="000000" w:fill="FFFFFF"/>
            <w:vAlign w:val="center"/>
          </w:tcPr>
          <w:p>
            <w:pPr>
              <w:autoSpaceDE w:val="0"/>
              <w:autoSpaceDN w:val="0"/>
              <w:adjustRightInd w:val="0"/>
              <w:jc w:val="center"/>
              <w:rPr>
                <w:rFonts w:ascii="仿宋" w:hAnsi="仿宋" w:eastAsia="仿宋" w:cs="?????"/>
                <w:color w:val="000000"/>
                <w:kern w:val="0"/>
                <w:sz w:val="24"/>
              </w:rPr>
            </w:pPr>
            <w:r>
              <w:rPr>
                <w:rFonts w:hint="eastAsia" w:ascii="仿宋" w:hAnsi="仿宋" w:eastAsia="仿宋" w:cs="宋体"/>
                <w:color w:val="000000"/>
                <w:kern w:val="0"/>
                <w:sz w:val="24"/>
                <w:lang w:val="zh-CN"/>
              </w:rPr>
              <w:t>投资</w:t>
            </w:r>
          </w:p>
          <w:p>
            <w:pPr>
              <w:autoSpaceDE w:val="0"/>
              <w:autoSpaceDN w:val="0"/>
              <w:adjustRightInd w:val="0"/>
              <w:jc w:val="center"/>
              <w:rPr>
                <w:rFonts w:ascii="仿宋" w:hAnsi="仿宋" w:eastAsia="仿宋" w:cs="宋体"/>
                <w:kern w:val="0"/>
                <w:sz w:val="24"/>
                <w:lang w:val="zh-CN"/>
              </w:rPr>
            </w:pPr>
            <w:r>
              <w:rPr>
                <w:rFonts w:hint="eastAsia" w:ascii="仿宋" w:hAnsi="仿宋" w:eastAsia="仿宋" w:cs="宋体"/>
                <w:color w:val="000000"/>
                <w:kern w:val="0"/>
                <w:sz w:val="24"/>
                <w:lang w:val="zh-CN"/>
              </w:rPr>
              <w:t>收益</w:t>
            </w:r>
          </w:p>
        </w:tc>
        <w:tc>
          <w:tcPr>
            <w:tcW w:w="1080" w:type="dxa"/>
            <w:shd w:val="clear" w:color="000000" w:fill="FFFFFF"/>
            <w:vAlign w:val="center"/>
          </w:tcPr>
          <w:p>
            <w:pPr>
              <w:autoSpaceDE w:val="0"/>
              <w:autoSpaceDN w:val="0"/>
              <w:adjustRightInd w:val="0"/>
              <w:jc w:val="center"/>
              <w:rPr>
                <w:rFonts w:ascii="仿宋" w:hAnsi="仿宋" w:eastAsia="仿宋" w:cs="宋体"/>
                <w:kern w:val="0"/>
                <w:sz w:val="24"/>
                <w:lang w:val="zh-CN"/>
              </w:rPr>
            </w:pPr>
            <w:r>
              <w:rPr>
                <w:rFonts w:hint="eastAsia" w:ascii="仿宋" w:hAnsi="仿宋" w:eastAsia="仿宋" w:cs="宋体"/>
                <w:color w:val="000000"/>
                <w:kern w:val="0"/>
                <w:sz w:val="24"/>
                <w:lang w:val="zh-CN"/>
              </w:rPr>
              <w:t>项目是否有后续融资</w:t>
            </w:r>
          </w:p>
        </w:tc>
        <w:tc>
          <w:tcPr>
            <w:tcW w:w="1080" w:type="dxa"/>
            <w:shd w:val="clear" w:color="000000" w:fill="FFFFFF"/>
            <w:vAlign w:val="center"/>
          </w:tcPr>
          <w:p>
            <w:pPr>
              <w:autoSpaceDE w:val="0"/>
              <w:autoSpaceDN w:val="0"/>
              <w:adjustRightInd w:val="0"/>
              <w:jc w:val="center"/>
              <w:rPr>
                <w:rFonts w:ascii="仿宋" w:hAnsi="仿宋" w:eastAsia="仿宋" w:cs="宋体"/>
                <w:kern w:val="0"/>
                <w:sz w:val="24"/>
                <w:lang w:val="zh-CN"/>
              </w:rPr>
            </w:pPr>
            <w:r>
              <w:rPr>
                <w:rFonts w:hint="eastAsia" w:ascii="仿宋" w:hAnsi="仿宋" w:eastAsia="仿宋" w:cs="宋体"/>
                <w:color w:val="000000"/>
                <w:kern w:val="0"/>
                <w:sz w:val="24"/>
                <w:lang w:val="zh-CN"/>
              </w:rPr>
              <w:t>项目公司联系人及电话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64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54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54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56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58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64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64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92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108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82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108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86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70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108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108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108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64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54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54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56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58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64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64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92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108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82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108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86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70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108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108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108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64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54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54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56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58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64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64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92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108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82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108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86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70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108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108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108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64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54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54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56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58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64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64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92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108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82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108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86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70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108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108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108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64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54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54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56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58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64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64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92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108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82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108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86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70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108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108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c>
          <w:tcPr>
            <w:tcW w:w="1080" w:type="dxa"/>
            <w:shd w:val="clear" w:color="000000" w:fill="FFFFFF"/>
            <w:vAlign w:val="center"/>
          </w:tcPr>
          <w:p>
            <w:pPr>
              <w:autoSpaceDE w:val="0"/>
              <w:autoSpaceDN w:val="0"/>
              <w:adjustRightInd w:val="0"/>
              <w:jc w:val="left"/>
              <w:rPr>
                <w:rFonts w:ascii="宋体" w:hAnsi="?????" w:cs="宋体"/>
                <w:kern w:val="0"/>
                <w:sz w:val="22"/>
                <w:lang w:val="zh-CN"/>
              </w:rPr>
            </w:pPr>
            <w:r>
              <w:rPr>
                <w:rFonts w:hint="eastAsia" w:ascii="仿宋" w:hAnsi="?????" w:eastAsia="仿宋" w:cs="仿宋"/>
                <w:color w:val="000000"/>
                <w:kern w:val="0"/>
                <w:sz w:val="24"/>
                <w:lang w:val="zh-CN"/>
              </w:rPr>
              <w:t>　</w:t>
            </w:r>
          </w:p>
        </w:tc>
      </w:tr>
    </w:tbl>
    <w:p>
      <w:pPr>
        <w:autoSpaceDE w:val="0"/>
        <w:autoSpaceDN w:val="0"/>
        <w:adjustRightInd w:val="0"/>
        <w:jc w:val="left"/>
        <w:rPr>
          <w:rFonts w:ascii="仿宋" w:hAnsi="仿宋" w:eastAsia="仿宋" w:cs="宋体"/>
          <w:kern w:val="0"/>
          <w:sz w:val="32"/>
          <w:szCs w:val="32"/>
          <w:lang w:val="zh-CN"/>
        </w:rPr>
      </w:pPr>
    </w:p>
    <w:p>
      <w:pPr>
        <w:autoSpaceDE w:val="0"/>
        <w:autoSpaceDN w:val="0"/>
        <w:adjustRightInd w:val="0"/>
        <w:jc w:val="left"/>
        <w:rPr>
          <w:rFonts w:ascii="仿宋" w:hAnsi="仿宋" w:eastAsia="仿宋" w:cs="宋体"/>
          <w:kern w:val="0"/>
          <w:sz w:val="32"/>
          <w:szCs w:val="32"/>
          <w:lang w:val="zh-CN"/>
        </w:rPr>
      </w:pPr>
    </w:p>
    <w:p>
      <w:pPr>
        <w:autoSpaceDE w:val="0"/>
        <w:autoSpaceDN w:val="0"/>
        <w:adjustRightInd w:val="0"/>
        <w:jc w:val="left"/>
        <w:rPr>
          <w:rFonts w:ascii="仿宋" w:hAnsi="仿宋" w:eastAsia="仿宋" w:cs="宋体"/>
          <w:kern w:val="0"/>
          <w:sz w:val="32"/>
          <w:szCs w:val="32"/>
          <w:lang w:val="zh-CN"/>
        </w:rPr>
      </w:pPr>
    </w:p>
    <w:p>
      <w:pPr>
        <w:autoSpaceDE w:val="0"/>
        <w:autoSpaceDN w:val="0"/>
        <w:adjustRightInd w:val="0"/>
        <w:jc w:val="left"/>
        <w:rPr>
          <w:rFonts w:ascii="仿宋" w:hAnsi="仿宋" w:eastAsia="仿宋" w:cs="宋体"/>
          <w:kern w:val="0"/>
          <w:sz w:val="32"/>
          <w:szCs w:val="32"/>
          <w:lang w:val="zh-CN"/>
        </w:rPr>
      </w:pPr>
      <w:r>
        <w:rPr>
          <w:rFonts w:hint="eastAsia" w:ascii="仿宋" w:hAnsi="仿宋" w:eastAsia="仿宋" w:cs="宋体"/>
          <w:kern w:val="0"/>
          <w:sz w:val="32"/>
          <w:szCs w:val="32"/>
          <w:lang w:val="zh-CN"/>
        </w:rPr>
        <w:t>表2</w:t>
      </w:r>
    </w:p>
    <w:p>
      <w:pPr>
        <w:autoSpaceDE w:val="0"/>
        <w:autoSpaceDN w:val="0"/>
        <w:adjustRightInd w:val="0"/>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哈尔滨市市级财政专项资金股权投资基金（筹）储备项目列表</w:t>
      </w:r>
    </w:p>
    <w:tbl>
      <w:tblPr>
        <w:tblStyle w:val="3"/>
        <w:tblW w:w="0" w:type="auto"/>
        <w:jc w:val="center"/>
        <w:tblLayout w:type="fixed"/>
        <w:tblCellMar>
          <w:top w:w="0" w:type="dxa"/>
          <w:left w:w="108" w:type="dxa"/>
          <w:bottom w:w="0" w:type="dxa"/>
          <w:right w:w="108" w:type="dxa"/>
        </w:tblCellMar>
      </w:tblPr>
      <w:tblGrid>
        <w:gridCol w:w="627"/>
        <w:gridCol w:w="1539"/>
        <w:gridCol w:w="747"/>
        <w:gridCol w:w="1198"/>
        <w:gridCol w:w="1124"/>
        <w:gridCol w:w="940"/>
        <w:gridCol w:w="849"/>
        <w:gridCol w:w="709"/>
        <w:gridCol w:w="1137"/>
        <w:gridCol w:w="851"/>
        <w:gridCol w:w="994"/>
        <w:gridCol w:w="851"/>
        <w:gridCol w:w="1177"/>
      </w:tblGrid>
      <w:tr>
        <w:tblPrEx>
          <w:tblCellMar>
            <w:top w:w="0" w:type="dxa"/>
            <w:left w:w="108" w:type="dxa"/>
            <w:bottom w:w="0" w:type="dxa"/>
            <w:right w:w="108" w:type="dxa"/>
          </w:tblCellMar>
        </w:tblPrEx>
        <w:trPr>
          <w:trHeight w:val="1" w:hRule="atLeast"/>
          <w:jc w:val="center"/>
        </w:trPr>
        <w:tc>
          <w:tcPr>
            <w:tcW w:w="62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 w:hAnsi="仿宋" w:eastAsia="仿宋" w:cs="宋体"/>
                <w:kern w:val="0"/>
                <w:sz w:val="24"/>
                <w:lang w:val="zh-CN"/>
              </w:rPr>
            </w:pPr>
            <w:r>
              <w:rPr>
                <w:rFonts w:hint="eastAsia" w:ascii="仿宋" w:hAnsi="仿宋" w:eastAsia="仿宋" w:cs="宋体"/>
                <w:color w:val="000000"/>
                <w:kern w:val="0"/>
                <w:sz w:val="24"/>
                <w:lang w:val="zh-CN"/>
              </w:rPr>
              <w:t>序号</w:t>
            </w:r>
          </w:p>
        </w:tc>
        <w:tc>
          <w:tcPr>
            <w:tcW w:w="153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 w:hAnsi="仿宋" w:eastAsia="仿宋" w:cs="?????"/>
                <w:color w:val="000000"/>
                <w:kern w:val="0"/>
                <w:sz w:val="24"/>
              </w:rPr>
            </w:pPr>
            <w:r>
              <w:rPr>
                <w:rFonts w:hint="eastAsia" w:ascii="仿宋" w:hAnsi="仿宋" w:eastAsia="仿宋" w:cs="宋体"/>
                <w:color w:val="000000"/>
                <w:kern w:val="0"/>
                <w:sz w:val="24"/>
                <w:lang w:val="zh-CN"/>
              </w:rPr>
              <w:t>项目</w:t>
            </w:r>
          </w:p>
          <w:p>
            <w:pPr>
              <w:autoSpaceDE w:val="0"/>
              <w:autoSpaceDN w:val="0"/>
              <w:adjustRightInd w:val="0"/>
              <w:jc w:val="center"/>
              <w:rPr>
                <w:rFonts w:ascii="仿宋" w:hAnsi="仿宋" w:eastAsia="仿宋" w:cs="宋体"/>
                <w:kern w:val="0"/>
                <w:sz w:val="24"/>
                <w:lang w:val="zh-CN"/>
              </w:rPr>
            </w:pPr>
            <w:r>
              <w:rPr>
                <w:rFonts w:hint="eastAsia" w:ascii="仿宋" w:hAnsi="仿宋" w:eastAsia="仿宋" w:cs="宋体"/>
                <w:color w:val="000000"/>
                <w:kern w:val="0"/>
                <w:sz w:val="24"/>
                <w:lang w:val="zh-CN"/>
              </w:rPr>
              <w:t>单位</w:t>
            </w:r>
          </w:p>
        </w:tc>
        <w:tc>
          <w:tcPr>
            <w:tcW w:w="74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 w:hAnsi="仿宋" w:eastAsia="仿宋" w:cs="?????"/>
                <w:color w:val="000000"/>
                <w:kern w:val="0"/>
                <w:sz w:val="24"/>
              </w:rPr>
            </w:pPr>
            <w:r>
              <w:rPr>
                <w:rFonts w:hint="eastAsia" w:ascii="仿宋" w:hAnsi="仿宋" w:eastAsia="仿宋" w:cs="宋体"/>
                <w:color w:val="000000"/>
                <w:kern w:val="0"/>
                <w:sz w:val="24"/>
                <w:lang w:val="zh-CN"/>
              </w:rPr>
              <w:t>行业</w:t>
            </w:r>
          </w:p>
          <w:p>
            <w:pPr>
              <w:autoSpaceDE w:val="0"/>
              <w:autoSpaceDN w:val="0"/>
              <w:adjustRightInd w:val="0"/>
              <w:jc w:val="center"/>
              <w:rPr>
                <w:rFonts w:ascii="仿宋" w:hAnsi="仿宋" w:eastAsia="仿宋" w:cs="宋体"/>
                <w:kern w:val="0"/>
                <w:sz w:val="24"/>
                <w:lang w:val="zh-CN"/>
              </w:rPr>
            </w:pPr>
            <w:r>
              <w:rPr>
                <w:rFonts w:hint="eastAsia" w:ascii="仿宋" w:hAnsi="仿宋" w:eastAsia="仿宋" w:cs="宋体"/>
                <w:color w:val="000000"/>
                <w:kern w:val="0"/>
                <w:sz w:val="24"/>
                <w:lang w:val="zh-CN"/>
              </w:rPr>
              <w:t>分类</w:t>
            </w:r>
          </w:p>
        </w:tc>
        <w:tc>
          <w:tcPr>
            <w:tcW w:w="119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 w:hAnsi="仿宋" w:eastAsia="仿宋" w:cs="?????"/>
                <w:color w:val="000000"/>
                <w:kern w:val="0"/>
                <w:sz w:val="24"/>
              </w:rPr>
            </w:pPr>
            <w:r>
              <w:rPr>
                <w:rFonts w:hint="eastAsia" w:ascii="仿宋" w:hAnsi="仿宋" w:eastAsia="仿宋" w:cs="宋体"/>
                <w:color w:val="000000"/>
                <w:kern w:val="0"/>
                <w:sz w:val="24"/>
                <w:lang w:val="zh-CN"/>
              </w:rPr>
              <w:t>注册</w:t>
            </w:r>
          </w:p>
          <w:p>
            <w:pPr>
              <w:autoSpaceDE w:val="0"/>
              <w:autoSpaceDN w:val="0"/>
              <w:adjustRightInd w:val="0"/>
              <w:jc w:val="center"/>
              <w:rPr>
                <w:rFonts w:ascii="仿宋" w:hAnsi="仿宋" w:eastAsia="仿宋" w:cs="宋体"/>
                <w:kern w:val="0"/>
                <w:sz w:val="24"/>
                <w:lang w:val="zh-CN"/>
              </w:rPr>
            </w:pPr>
            <w:r>
              <w:rPr>
                <w:rFonts w:hint="eastAsia" w:ascii="仿宋" w:hAnsi="仿宋" w:eastAsia="仿宋" w:cs="宋体"/>
                <w:color w:val="000000"/>
                <w:kern w:val="0"/>
                <w:sz w:val="24"/>
                <w:lang w:val="zh-CN"/>
              </w:rPr>
              <w:t>地址</w:t>
            </w:r>
          </w:p>
        </w:tc>
        <w:tc>
          <w:tcPr>
            <w:tcW w:w="112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 w:hAnsi="仿宋" w:eastAsia="仿宋" w:cs="宋体"/>
                <w:kern w:val="0"/>
                <w:sz w:val="24"/>
                <w:lang w:val="zh-CN"/>
              </w:rPr>
            </w:pPr>
            <w:r>
              <w:rPr>
                <w:rFonts w:hint="eastAsia" w:ascii="仿宋" w:hAnsi="仿宋" w:eastAsia="仿宋" w:cs="宋体"/>
                <w:color w:val="000000"/>
                <w:kern w:val="0"/>
                <w:sz w:val="24"/>
                <w:lang w:val="zh-CN"/>
              </w:rPr>
              <w:t>主营业务及产品</w:t>
            </w:r>
          </w:p>
        </w:tc>
        <w:tc>
          <w:tcPr>
            <w:tcW w:w="9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 w:hAnsi="仿宋" w:eastAsia="仿宋" w:cs="宋体"/>
                <w:kern w:val="0"/>
                <w:sz w:val="24"/>
                <w:lang w:val="zh-CN"/>
              </w:rPr>
            </w:pPr>
            <w:r>
              <w:rPr>
                <w:rFonts w:hint="eastAsia" w:ascii="仿宋" w:hAnsi="仿宋" w:eastAsia="仿宋" w:cs="宋体"/>
                <w:color w:val="000000"/>
                <w:kern w:val="0"/>
                <w:sz w:val="24"/>
                <w:lang w:val="zh-CN"/>
              </w:rPr>
              <w:t>拟投资金额</w:t>
            </w:r>
          </w:p>
        </w:tc>
        <w:tc>
          <w:tcPr>
            <w:tcW w:w="84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 w:hAnsi="仿宋" w:eastAsia="仿宋" w:cs="?????"/>
                <w:color w:val="000000"/>
                <w:kern w:val="0"/>
                <w:sz w:val="24"/>
              </w:rPr>
            </w:pPr>
            <w:r>
              <w:rPr>
                <w:rFonts w:hint="eastAsia" w:ascii="仿宋" w:hAnsi="仿宋" w:eastAsia="仿宋" w:cs="宋体"/>
                <w:color w:val="000000"/>
                <w:kern w:val="0"/>
                <w:sz w:val="24"/>
                <w:lang w:val="zh-CN"/>
              </w:rPr>
              <w:t>出资</w:t>
            </w:r>
          </w:p>
          <w:p>
            <w:pPr>
              <w:autoSpaceDE w:val="0"/>
              <w:autoSpaceDN w:val="0"/>
              <w:adjustRightInd w:val="0"/>
              <w:jc w:val="center"/>
              <w:rPr>
                <w:rFonts w:ascii="仿宋" w:hAnsi="仿宋" w:eastAsia="仿宋" w:cs="宋体"/>
                <w:kern w:val="0"/>
                <w:sz w:val="24"/>
                <w:lang w:val="zh-CN"/>
              </w:rPr>
            </w:pPr>
            <w:r>
              <w:rPr>
                <w:rFonts w:hint="eastAsia" w:ascii="仿宋" w:hAnsi="仿宋" w:eastAsia="仿宋" w:cs="宋体"/>
                <w:color w:val="000000"/>
                <w:kern w:val="0"/>
                <w:sz w:val="24"/>
                <w:lang w:val="zh-CN"/>
              </w:rPr>
              <w:t>比例</w:t>
            </w:r>
          </w:p>
        </w:tc>
        <w:tc>
          <w:tcPr>
            <w:tcW w:w="7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 w:hAnsi="仿宋" w:eastAsia="仿宋" w:cs="宋体"/>
                <w:kern w:val="0"/>
                <w:sz w:val="24"/>
                <w:lang w:val="zh-CN"/>
              </w:rPr>
            </w:pPr>
            <w:r>
              <w:rPr>
                <w:rFonts w:hint="eastAsia" w:ascii="仿宋" w:hAnsi="仿宋" w:eastAsia="仿宋" w:cs="宋体"/>
                <w:color w:val="000000"/>
                <w:kern w:val="0"/>
                <w:sz w:val="24"/>
                <w:lang w:val="zh-CN"/>
              </w:rPr>
              <w:t>资金用途</w:t>
            </w:r>
          </w:p>
        </w:tc>
        <w:tc>
          <w:tcPr>
            <w:tcW w:w="113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 w:hAnsi="仿宋" w:eastAsia="仿宋" w:cs="宋体"/>
                <w:kern w:val="0"/>
                <w:sz w:val="24"/>
                <w:lang w:val="zh-CN"/>
              </w:rPr>
            </w:pPr>
            <w:r>
              <w:rPr>
                <w:rFonts w:hint="eastAsia" w:ascii="仿宋" w:hAnsi="仿宋" w:eastAsia="仿宋" w:cs="宋体"/>
                <w:color w:val="000000"/>
                <w:kern w:val="0"/>
                <w:sz w:val="24"/>
                <w:lang w:val="zh-CN"/>
              </w:rPr>
              <w:t>核心优势及投资亮点</w:t>
            </w:r>
          </w:p>
        </w:tc>
        <w:tc>
          <w:tcPr>
            <w:tcW w:w="85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 w:hAnsi="仿宋" w:eastAsia="仿宋" w:cs="宋体"/>
                <w:kern w:val="0"/>
                <w:sz w:val="24"/>
                <w:lang w:val="zh-CN"/>
              </w:rPr>
            </w:pPr>
            <w:r>
              <w:rPr>
                <w:rFonts w:hint="eastAsia" w:ascii="仿宋" w:hAnsi="仿宋" w:eastAsia="仿宋" w:cs="宋体"/>
                <w:color w:val="000000"/>
                <w:kern w:val="0"/>
                <w:sz w:val="24"/>
                <w:lang w:val="zh-CN"/>
              </w:rPr>
              <w:t>拟投资时间</w:t>
            </w:r>
          </w:p>
        </w:tc>
        <w:tc>
          <w:tcPr>
            <w:tcW w:w="9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可比</w:t>
            </w:r>
          </w:p>
          <w:p>
            <w:pPr>
              <w:autoSpaceDE w:val="0"/>
              <w:autoSpaceDN w:val="0"/>
              <w:adjustRightInd w:val="0"/>
              <w:jc w:val="center"/>
              <w:rPr>
                <w:rFonts w:ascii="仿宋" w:hAnsi="仿宋" w:eastAsia="仿宋" w:cs="宋体"/>
                <w:kern w:val="0"/>
                <w:sz w:val="24"/>
                <w:lang w:val="zh-CN"/>
              </w:rPr>
            </w:pPr>
            <w:r>
              <w:rPr>
                <w:rFonts w:hint="eastAsia" w:ascii="仿宋" w:hAnsi="仿宋" w:eastAsia="仿宋" w:cs="宋体"/>
                <w:color w:val="000000"/>
                <w:kern w:val="0"/>
                <w:sz w:val="24"/>
                <w:lang w:val="zh-CN"/>
              </w:rPr>
              <w:t>公司</w:t>
            </w:r>
          </w:p>
        </w:tc>
        <w:tc>
          <w:tcPr>
            <w:tcW w:w="85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 w:hAnsi="仿宋" w:eastAsia="仿宋" w:cs="宋体"/>
                <w:kern w:val="0"/>
                <w:sz w:val="24"/>
                <w:lang w:val="zh-CN"/>
              </w:rPr>
            </w:pPr>
            <w:r>
              <w:rPr>
                <w:rFonts w:hint="eastAsia" w:ascii="仿宋" w:hAnsi="仿宋" w:eastAsia="仿宋" w:cs="宋体"/>
                <w:color w:val="000000"/>
                <w:kern w:val="0"/>
                <w:sz w:val="24"/>
                <w:lang w:val="zh-CN"/>
              </w:rPr>
              <w:t>联系人</w:t>
            </w:r>
          </w:p>
        </w:tc>
        <w:tc>
          <w:tcPr>
            <w:tcW w:w="117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 w:hAnsi="仿宋" w:eastAsia="仿宋" w:cs="?????"/>
                <w:color w:val="000000"/>
                <w:kern w:val="0"/>
                <w:sz w:val="24"/>
              </w:rPr>
            </w:pPr>
            <w:r>
              <w:rPr>
                <w:rFonts w:hint="eastAsia" w:ascii="仿宋" w:hAnsi="仿宋" w:eastAsia="仿宋" w:cs="宋体"/>
                <w:color w:val="000000"/>
                <w:kern w:val="0"/>
                <w:sz w:val="24"/>
                <w:lang w:val="zh-CN"/>
              </w:rPr>
              <w:t>联系</w:t>
            </w:r>
          </w:p>
          <w:p>
            <w:pPr>
              <w:autoSpaceDE w:val="0"/>
              <w:autoSpaceDN w:val="0"/>
              <w:adjustRightInd w:val="0"/>
              <w:jc w:val="center"/>
              <w:rPr>
                <w:rFonts w:ascii="仿宋" w:hAnsi="仿宋" w:eastAsia="仿宋" w:cs="宋体"/>
                <w:kern w:val="0"/>
                <w:sz w:val="24"/>
                <w:lang w:val="zh-CN"/>
              </w:rPr>
            </w:pPr>
            <w:r>
              <w:rPr>
                <w:rFonts w:hint="eastAsia" w:ascii="仿宋" w:hAnsi="仿宋" w:eastAsia="仿宋" w:cs="宋体"/>
                <w:color w:val="000000"/>
                <w:kern w:val="0"/>
                <w:sz w:val="24"/>
                <w:lang w:val="zh-CN"/>
              </w:rPr>
              <w:t>方式</w:t>
            </w:r>
          </w:p>
        </w:tc>
      </w:tr>
      <w:tr>
        <w:tblPrEx>
          <w:tblCellMar>
            <w:top w:w="0" w:type="dxa"/>
            <w:left w:w="108" w:type="dxa"/>
            <w:bottom w:w="0" w:type="dxa"/>
            <w:right w:w="108" w:type="dxa"/>
          </w:tblCellMar>
        </w:tblPrEx>
        <w:trPr>
          <w:trHeight w:val="732" w:hRule="atLeast"/>
          <w:jc w:val="center"/>
        </w:trPr>
        <w:tc>
          <w:tcPr>
            <w:tcW w:w="62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jc w:val="center"/>
              <w:rPr>
                <w:rFonts w:ascii="仿宋" w:hAnsi="仿宋" w:eastAsia="仿宋" w:cs="宋体"/>
                <w:kern w:val="0"/>
                <w:sz w:val="24"/>
                <w:lang w:val="zh-CN"/>
              </w:rPr>
            </w:pPr>
          </w:p>
        </w:tc>
        <w:tc>
          <w:tcPr>
            <w:tcW w:w="153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jc w:val="center"/>
              <w:rPr>
                <w:rFonts w:ascii="仿宋" w:hAnsi="仿宋" w:eastAsia="仿宋" w:cs="宋体"/>
                <w:kern w:val="0"/>
                <w:sz w:val="24"/>
                <w:lang w:val="zh-CN"/>
              </w:rPr>
            </w:pPr>
          </w:p>
        </w:tc>
        <w:tc>
          <w:tcPr>
            <w:tcW w:w="74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jc w:val="center"/>
              <w:rPr>
                <w:rFonts w:ascii="仿宋" w:hAnsi="仿宋" w:eastAsia="仿宋" w:cs="宋体"/>
                <w:kern w:val="0"/>
                <w:sz w:val="24"/>
                <w:lang w:val="zh-CN"/>
              </w:rPr>
            </w:pPr>
          </w:p>
        </w:tc>
        <w:tc>
          <w:tcPr>
            <w:tcW w:w="119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jc w:val="center"/>
              <w:rPr>
                <w:rFonts w:ascii="仿宋" w:hAnsi="仿宋" w:eastAsia="仿宋" w:cs="宋体"/>
                <w:kern w:val="0"/>
                <w:sz w:val="24"/>
                <w:lang w:val="zh-CN"/>
              </w:rPr>
            </w:pPr>
          </w:p>
        </w:tc>
        <w:tc>
          <w:tcPr>
            <w:tcW w:w="112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jc w:val="center"/>
              <w:rPr>
                <w:rFonts w:ascii="仿宋" w:hAnsi="仿宋" w:eastAsia="仿宋" w:cs="宋体"/>
                <w:kern w:val="0"/>
                <w:sz w:val="24"/>
                <w:lang w:val="zh-CN"/>
              </w:rPr>
            </w:pPr>
          </w:p>
        </w:tc>
        <w:tc>
          <w:tcPr>
            <w:tcW w:w="94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jc w:val="center"/>
              <w:rPr>
                <w:rFonts w:ascii="仿宋" w:hAnsi="仿宋" w:eastAsia="仿宋" w:cs="宋体"/>
                <w:kern w:val="0"/>
                <w:sz w:val="24"/>
                <w:lang w:val="zh-CN"/>
              </w:rPr>
            </w:pPr>
          </w:p>
        </w:tc>
        <w:tc>
          <w:tcPr>
            <w:tcW w:w="8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jc w:val="center"/>
              <w:rPr>
                <w:rFonts w:ascii="仿宋" w:hAnsi="仿宋" w:eastAsia="仿宋" w:cs="宋体"/>
                <w:kern w:val="0"/>
                <w:sz w:val="24"/>
                <w:lang w:val="zh-CN"/>
              </w:rPr>
            </w:pPr>
          </w:p>
        </w:tc>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jc w:val="center"/>
              <w:rPr>
                <w:rFonts w:ascii="仿宋" w:hAnsi="仿宋" w:eastAsia="仿宋" w:cs="宋体"/>
                <w:kern w:val="0"/>
                <w:sz w:val="24"/>
                <w:lang w:val="zh-CN"/>
              </w:rPr>
            </w:pPr>
          </w:p>
        </w:tc>
        <w:tc>
          <w:tcPr>
            <w:tcW w:w="113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jc w:val="center"/>
              <w:rPr>
                <w:rFonts w:ascii="仿宋" w:hAnsi="仿宋" w:eastAsia="仿宋" w:cs="宋体"/>
                <w:kern w:val="0"/>
                <w:sz w:val="24"/>
                <w:lang w:val="zh-CN"/>
              </w:rPr>
            </w:pPr>
          </w:p>
        </w:tc>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jc w:val="center"/>
              <w:rPr>
                <w:rFonts w:ascii="仿宋" w:hAnsi="仿宋" w:eastAsia="仿宋" w:cs="宋体"/>
                <w:kern w:val="0"/>
                <w:sz w:val="24"/>
                <w:lang w:val="zh-CN"/>
              </w:rPr>
            </w:pPr>
          </w:p>
        </w:tc>
        <w:tc>
          <w:tcPr>
            <w:tcW w:w="99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jc w:val="center"/>
              <w:rPr>
                <w:rFonts w:ascii="仿宋" w:hAnsi="仿宋" w:eastAsia="仿宋" w:cs="宋体"/>
                <w:kern w:val="0"/>
                <w:sz w:val="24"/>
                <w:lang w:val="zh-CN"/>
              </w:rPr>
            </w:pPr>
          </w:p>
        </w:tc>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jc w:val="center"/>
              <w:rPr>
                <w:rFonts w:ascii="仿宋" w:hAnsi="仿宋" w:eastAsia="仿宋" w:cs="宋体"/>
                <w:kern w:val="0"/>
                <w:sz w:val="24"/>
                <w:lang w:val="zh-CN"/>
              </w:rPr>
            </w:pPr>
          </w:p>
        </w:tc>
        <w:tc>
          <w:tcPr>
            <w:tcW w:w="117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jc w:val="center"/>
              <w:rPr>
                <w:rFonts w:ascii="仿宋" w:hAnsi="仿宋" w:eastAsia="仿宋" w:cs="宋体"/>
                <w:kern w:val="0"/>
                <w:sz w:val="24"/>
                <w:lang w:val="zh-CN"/>
              </w:rPr>
            </w:pPr>
          </w:p>
        </w:tc>
      </w:tr>
      <w:tr>
        <w:tblPrEx>
          <w:tblCellMar>
            <w:top w:w="0" w:type="dxa"/>
            <w:left w:w="108" w:type="dxa"/>
            <w:bottom w:w="0" w:type="dxa"/>
            <w:right w:w="108" w:type="dxa"/>
          </w:tblCellMar>
        </w:tblPrEx>
        <w:trPr>
          <w:trHeight w:val="1" w:hRule="atLeast"/>
          <w:jc w:val="center"/>
        </w:trPr>
        <w:tc>
          <w:tcPr>
            <w:tcW w:w="62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53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74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19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12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94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8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13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99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17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r>
      <w:tr>
        <w:tblPrEx>
          <w:tblCellMar>
            <w:top w:w="0" w:type="dxa"/>
            <w:left w:w="108" w:type="dxa"/>
            <w:bottom w:w="0" w:type="dxa"/>
            <w:right w:w="108" w:type="dxa"/>
          </w:tblCellMar>
        </w:tblPrEx>
        <w:trPr>
          <w:trHeight w:val="1" w:hRule="atLeast"/>
          <w:jc w:val="center"/>
        </w:trPr>
        <w:tc>
          <w:tcPr>
            <w:tcW w:w="62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53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74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19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12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94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8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13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99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17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r>
      <w:tr>
        <w:tblPrEx>
          <w:tblCellMar>
            <w:top w:w="0" w:type="dxa"/>
            <w:left w:w="108" w:type="dxa"/>
            <w:bottom w:w="0" w:type="dxa"/>
            <w:right w:w="108" w:type="dxa"/>
          </w:tblCellMar>
        </w:tblPrEx>
        <w:trPr>
          <w:trHeight w:val="1" w:hRule="atLeast"/>
          <w:jc w:val="center"/>
        </w:trPr>
        <w:tc>
          <w:tcPr>
            <w:tcW w:w="62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53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74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19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12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94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8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13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99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17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r>
      <w:tr>
        <w:tblPrEx>
          <w:tblCellMar>
            <w:top w:w="0" w:type="dxa"/>
            <w:left w:w="108" w:type="dxa"/>
            <w:bottom w:w="0" w:type="dxa"/>
            <w:right w:w="108" w:type="dxa"/>
          </w:tblCellMar>
        </w:tblPrEx>
        <w:trPr>
          <w:trHeight w:val="1" w:hRule="atLeast"/>
          <w:jc w:val="center"/>
        </w:trPr>
        <w:tc>
          <w:tcPr>
            <w:tcW w:w="62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53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74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19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12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94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8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13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99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17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r>
      <w:tr>
        <w:tblPrEx>
          <w:tblCellMar>
            <w:top w:w="0" w:type="dxa"/>
            <w:left w:w="108" w:type="dxa"/>
            <w:bottom w:w="0" w:type="dxa"/>
            <w:right w:w="108" w:type="dxa"/>
          </w:tblCellMar>
        </w:tblPrEx>
        <w:trPr>
          <w:trHeight w:val="1" w:hRule="atLeast"/>
          <w:jc w:val="center"/>
        </w:trPr>
        <w:tc>
          <w:tcPr>
            <w:tcW w:w="62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53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74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19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12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94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8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13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99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17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r>
      <w:tr>
        <w:tblPrEx>
          <w:tblCellMar>
            <w:top w:w="0" w:type="dxa"/>
            <w:left w:w="108" w:type="dxa"/>
            <w:bottom w:w="0" w:type="dxa"/>
            <w:right w:w="108" w:type="dxa"/>
          </w:tblCellMar>
        </w:tblPrEx>
        <w:trPr>
          <w:trHeight w:val="1" w:hRule="atLeast"/>
          <w:jc w:val="center"/>
        </w:trPr>
        <w:tc>
          <w:tcPr>
            <w:tcW w:w="62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53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74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19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12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94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8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13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99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17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r>
      <w:tr>
        <w:tblPrEx>
          <w:tblCellMar>
            <w:top w:w="0" w:type="dxa"/>
            <w:left w:w="108" w:type="dxa"/>
            <w:bottom w:w="0" w:type="dxa"/>
            <w:right w:w="108" w:type="dxa"/>
          </w:tblCellMar>
        </w:tblPrEx>
        <w:trPr>
          <w:trHeight w:val="1" w:hRule="atLeast"/>
          <w:jc w:val="center"/>
        </w:trPr>
        <w:tc>
          <w:tcPr>
            <w:tcW w:w="62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53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74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19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12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94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8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13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99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17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r>
      <w:tr>
        <w:tblPrEx>
          <w:tblCellMar>
            <w:top w:w="0" w:type="dxa"/>
            <w:left w:w="108" w:type="dxa"/>
            <w:bottom w:w="0" w:type="dxa"/>
            <w:right w:w="108" w:type="dxa"/>
          </w:tblCellMar>
        </w:tblPrEx>
        <w:trPr>
          <w:trHeight w:val="1" w:hRule="atLeast"/>
          <w:jc w:val="center"/>
        </w:trPr>
        <w:tc>
          <w:tcPr>
            <w:tcW w:w="62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53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74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19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12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94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8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13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99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17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r>
      <w:tr>
        <w:tblPrEx>
          <w:tblCellMar>
            <w:top w:w="0" w:type="dxa"/>
            <w:left w:w="108" w:type="dxa"/>
            <w:bottom w:w="0" w:type="dxa"/>
            <w:right w:w="108" w:type="dxa"/>
          </w:tblCellMar>
        </w:tblPrEx>
        <w:trPr>
          <w:trHeight w:val="1" w:hRule="atLeast"/>
          <w:jc w:val="center"/>
        </w:trPr>
        <w:tc>
          <w:tcPr>
            <w:tcW w:w="62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53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74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19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12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94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8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13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99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17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r>
      <w:tr>
        <w:tblPrEx>
          <w:tblCellMar>
            <w:top w:w="0" w:type="dxa"/>
            <w:left w:w="108" w:type="dxa"/>
            <w:bottom w:w="0" w:type="dxa"/>
            <w:right w:w="108" w:type="dxa"/>
          </w:tblCellMar>
        </w:tblPrEx>
        <w:trPr>
          <w:trHeight w:val="1" w:hRule="atLeast"/>
          <w:jc w:val="center"/>
        </w:trPr>
        <w:tc>
          <w:tcPr>
            <w:tcW w:w="62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53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74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19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12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94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8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13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99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c>
          <w:tcPr>
            <w:tcW w:w="117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仿宋" w:hAnsi="仿宋" w:eastAsia="仿宋" w:cs="宋体"/>
                <w:kern w:val="0"/>
                <w:sz w:val="24"/>
                <w:lang w:val="zh-CN"/>
              </w:rPr>
            </w:pPr>
          </w:p>
        </w:tc>
      </w:tr>
    </w:tbl>
    <w:p>
      <w:pPr>
        <w:rPr>
          <w:rFonts w:ascii="FangSong_GB2312" w:hAnsi="宋体" w:eastAsia="FangSong_GB2312"/>
          <w:sz w:val="32"/>
          <w:szCs w:val="32"/>
        </w:rPr>
        <w:sectPr>
          <w:pgSz w:w="16838" w:h="11906" w:orient="landscape"/>
          <w:pgMar w:top="1800" w:right="1440" w:bottom="1800" w:left="1440" w:header="851" w:footer="992" w:gutter="0"/>
          <w:cols w:space="425" w:num="1"/>
          <w:docGrid w:type="lines" w:linePitch="312" w:charSpace="0"/>
        </w:sectPr>
      </w:pPr>
    </w:p>
    <w:p>
      <w:pPr>
        <w:autoSpaceDN w:val="0"/>
        <w:snapToGrid w:val="0"/>
        <w:spacing w:afterLines="100" w:line="600" w:lineRule="exact"/>
        <w:rPr>
          <w:rFonts w:ascii="FangSong_GB2312" w:hAnsi="宋体" w:eastAsia="FangSong_GB2312" w:cs="宋体"/>
          <w:sz w:val="32"/>
          <w:szCs w:val="32"/>
        </w:rPr>
      </w:pPr>
      <w:r>
        <w:rPr>
          <w:rFonts w:hint="eastAsia" w:ascii="FangSong_GB2312" w:hAnsi="宋体" w:eastAsia="FangSong_GB2312"/>
          <w:sz w:val="32"/>
          <w:szCs w:val="32"/>
        </w:rPr>
        <w:t>附件6</w:t>
      </w:r>
    </w:p>
    <w:p>
      <w:pPr>
        <w:widowControl/>
        <w:spacing w:before="100" w:beforeAutospacing="1" w:after="100" w:afterAutospacing="1"/>
        <w:jc w:val="center"/>
        <w:rPr>
          <w:rFonts w:ascii="宋体" w:hAnsi="宋体" w:cs="宋体"/>
          <w:color w:val="000000"/>
          <w:kern w:val="0"/>
          <w:sz w:val="24"/>
        </w:rPr>
      </w:pPr>
      <w:r>
        <w:rPr>
          <w:rFonts w:hint="eastAsia" w:ascii="宋体" w:hAnsi="宋体" w:cs="宋体"/>
          <w:b/>
          <w:bCs/>
          <w:color w:val="000000"/>
          <w:kern w:val="0"/>
          <w:sz w:val="44"/>
          <w:szCs w:val="44"/>
        </w:rPr>
        <w:t>哈尔滨市市级财政专项资金股权投资基金申请人承诺函</w:t>
      </w:r>
    </w:p>
    <w:p>
      <w:pPr>
        <w:widowControl/>
        <w:spacing w:before="100" w:beforeAutospacing="1" w:after="100" w:afterAutospacing="1"/>
        <w:rPr>
          <w:rFonts w:ascii="宋体" w:hAnsi="宋体" w:cs="宋体"/>
          <w:color w:val="000000"/>
          <w:kern w:val="0"/>
          <w:sz w:val="24"/>
        </w:rPr>
      </w:pPr>
      <w:r>
        <w:rPr>
          <w:rFonts w:hint="eastAsia" w:ascii="FangSong_GB2312" w:hAnsi="宋体" w:eastAsia="FangSong_GB2312" w:cs="宋体"/>
          <w:color w:val="000000"/>
          <w:kern w:val="0"/>
          <w:sz w:val="32"/>
          <w:szCs w:val="32"/>
        </w:rPr>
        <w:t> </w:t>
      </w:r>
    </w:p>
    <w:p>
      <w:pPr>
        <w:widowControl/>
        <w:spacing w:before="100" w:beforeAutospacing="1" w:after="100" w:afterAutospacing="1" w:line="560" w:lineRule="atLeast"/>
        <w:ind w:firstLine="614"/>
        <w:rPr>
          <w:rFonts w:ascii="宋体" w:hAnsi="宋体" w:cs="宋体"/>
          <w:color w:val="000000"/>
          <w:kern w:val="0"/>
          <w:sz w:val="24"/>
        </w:rPr>
      </w:pPr>
      <w:r>
        <w:rPr>
          <w:rFonts w:hint="eastAsia" w:ascii="FangSong_GB2312" w:hAnsi="宋体" w:eastAsia="FangSong_GB2312" w:cs="宋体"/>
          <w:color w:val="000000"/>
          <w:kern w:val="0"/>
          <w:sz w:val="32"/>
          <w:szCs w:val="32"/>
        </w:rPr>
        <w:t>我公司郑重承诺，此次向哈尔滨晟汇投资有限责任公司提交的申请设立哈尔滨市股权投资基金全部文件及资料真实、有效。如果出现国家有关法律、法规禁止发生的行为，本公司将承担由此引起的一切法律责任。</w:t>
      </w:r>
    </w:p>
    <w:p>
      <w:pPr>
        <w:widowControl/>
        <w:spacing w:before="100" w:beforeAutospacing="1" w:after="100" w:afterAutospacing="1" w:line="560" w:lineRule="atLeast"/>
        <w:rPr>
          <w:rFonts w:ascii="宋体" w:hAnsi="宋体" w:cs="宋体"/>
          <w:color w:val="000000"/>
          <w:kern w:val="0"/>
          <w:sz w:val="24"/>
        </w:rPr>
      </w:pPr>
      <w:r>
        <w:rPr>
          <w:rFonts w:hint="eastAsia" w:ascii="FangSong_GB2312" w:hAnsi="宋体" w:eastAsia="FangSong_GB2312" w:cs="宋体"/>
          <w:color w:val="000000"/>
          <w:kern w:val="0"/>
          <w:sz w:val="32"/>
          <w:szCs w:val="32"/>
        </w:rPr>
        <w:t>    特此承诺。</w:t>
      </w:r>
    </w:p>
    <w:p>
      <w:pPr>
        <w:widowControl/>
        <w:spacing w:before="100" w:beforeAutospacing="1" w:after="100" w:afterAutospacing="1" w:line="560" w:lineRule="atLeast"/>
        <w:ind w:firstLine="640"/>
        <w:rPr>
          <w:rFonts w:ascii="宋体" w:hAnsi="宋体" w:cs="宋体"/>
          <w:color w:val="000000"/>
          <w:kern w:val="0"/>
          <w:sz w:val="24"/>
        </w:rPr>
      </w:pPr>
      <w:r>
        <w:rPr>
          <w:rFonts w:hint="eastAsia" w:ascii="FangSong_GB2312" w:hAnsi="宋体" w:eastAsia="FangSong_GB2312" w:cs="宋体"/>
          <w:color w:val="000000"/>
          <w:kern w:val="0"/>
          <w:sz w:val="32"/>
          <w:szCs w:val="32"/>
        </w:rPr>
        <w:t> </w:t>
      </w:r>
    </w:p>
    <w:p>
      <w:pPr>
        <w:widowControl/>
        <w:spacing w:before="100" w:beforeAutospacing="1" w:after="100" w:afterAutospacing="1" w:line="560" w:lineRule="atLeast"/>
        <w:ind w:firstLine="640"/>
        <w:rPr>
          <w:rFonts w:ascii="宋体" w:hAnsi="宋体" w:cs="宋体"/>
          <w:color w:val="000000"/>
          <w:kern w:val="0"/>
          <w:sz w:val="24"/>
        </w:rPr>
      </w:pPr>
      <w:r>
        <w:rPr>
          <w:rFonts w:hint="eastAsia" w:ascii="FangSong_GB2312" w:hAnsi="宋体" w:eastAsia="FangSong_GB2312" w:cs="宋体"/>
          <w:color w:val="000000"/>
          <w:kern w:val="0"/>
          <w:sz w:val="32"/>
          <w:szCs w:val="32"/>
        </w:rPr>
        <w:t> </w:t>
      </w:r>
    </w:p>
    <w:p>
      <w:pPr>
        <w:widowControl/>
        <w:spacing w:before="100" w:beforeAutospacing="1" w:after="100" w:afterAutospacing="1" w:line="560" w:lineRule="atLeast"/>
        <w:ind w:firstLine="640"/>
        <w:rPr>
          <w:rFonts w:ascii="宋体" w:hAnsi="宋体" w:cs="宋体"/>
          <w:color w:val="000000"/>
          <w:kern w:val="0"/>
          <w:sz w:val="24"/>
        </w:rPr>
      </w:pPr>
      <w:r>
        <w:rPr>
          <w:rFonts w:hint="eastAsia" w:ascii="FangSong_GB2312" w:hAnsi="宋体" w:eastAsia="FangSong_GB2312" w:cs="宋体"/>
          <w:color w:val="000000"/>
          <w:kern w:val="0"/>
          <w:sz w:val="32"/>
          <w:szCs w:val="32"/>
        </w:rPr>
        <w:t> </w:t>
      </w:r>
    </w:p>
    <w:p>
      <w:pPr>
        <w:widowControl/>
        <w:wordWrap w:val="0"/>
        <w:spacing w:before="100" w:beforeAutospacing="1" w:after="100" w:afterAutospacing="1" w:line="560" w:lineRule="atLeast"/>
        <w:ind w:right="320" w:firstLine="2400"/>
        <w:jc w:val="right"/>
        <w:rPr>
          <w:rFonts w:ascii="宋体" w:hAnsi="宋体" w:cs="宋体"/>
          <w:color w:val="000000"/>
          <w:kern w:val="0"/>
          <w:sz w:val="24"/>
        </w:rPr>
      </w:pPr>
      <w:r>
        <w:rPr>
          <w:rFonts w:hint="eastAsia" w:ascii="FangSong_GB2312" w:hAnsi="宋体" w:eastAsia="FangSong_GB2312" w:cs="宋体"/>
          <w:color w:val="000000"/>
          <w:kern w:val="0"/>
          <w:sz w:val="32"/>
          <w:szCs w:val="32"/>
        </w:rPr>
        <w:t>申请单位（签章）   </w:t>
      </w:r>
    </w:p>
    <w:p>
      <w:pPr>
        <w:jc w:val="right"/>
        <w:rPr>
          <w:rFonts w:ascii="FangSong_GB2312" w:hAnsi="宋体" w:eastAsia="FangSong_GB2312"/>
          <w:sz w:val="32"/>
          <w:szCs w:val="32"/>
        </w:rPr>
      </w:pPr>
      <w:r>
        <w:rPr>
          <w:rFonts w:hint="eastAsia" w:ascii="FangSong_GB2312" w:hAnsi="宋体" w:eastAsia="FangSong_GB2312" w:cs="宋体"/>
          <w:color w:val="000000"/>
          <w:kern w:val="0"/>
          <w:sz w:val="32"/>
          <w:szCs w:val="32"/>
        </w:rPr>
        <w:t>年 </w:t>
      </w:r>
      <w:r>
        <w:rPr>
          <w:rFonts w:hint="eastAsia" w:ascii="FangSong_GB2312" w:hAnsi="宋体" w:eastAsia="FangSong_GB2312" w:cs="宋体"/>
          <w:color w:val="000000"/>
          <w:kern w:val="0"/>
          <w:sz w:val="32"/>
        </w:rPr>
        <w:t> </w:t>
      </w:r>
      <w:r>
        <w:rPr>
          <w:rFonts w:hint="eastAsia" w:ascii="FangSong_GB2312" w:hAnsi="宋体" w:eastAsia="FangSong_GB2312" w:cs="宋体"/>
          <w:color w:val="000000"/>
          <w:kern w:val="0"/>
          <w:sz w:val="32"/>
          <w:szCs w:val="32"/>
        </w:rPr>
        <w:t>月  日</w:t>
      </w:r>
    </w:p>
    <w:p>
      <w:pPr>
        <w:rPr>
          <w:rFonts w:ascii="FangSong_GB2312" w:hAnsi="宋体" w:eastAsia="FangSong_GB2312"/>
          <w:sz w:val="32"/>
          <w:szCs w:val="32"/>
        </w:rPr>
      </w:pPr>
    </w:p>
    <w:p>
      <w:pPr>
        <w:rPr>
          <w:rFonts w:ascii="FangSong_GB2312" w:hAnsi="宋体" w:eastAsia="FangSong_GB2312"/>
          <w:sz w:val="32"/>
          <w:szCs w:val="32"/>
        </w:rPr>
      </w:pPr>
    </w:p>
    <w:p>
      <w:pPr>
        <w:rPr>
          <w:rFonts w:ascii="FangSong_GB2312" w:hAnsi="宋体" w:eastAsia="FangSong_GB2312"/>
          <w:sz w:val="32"/>
          <w:szCs w:val="32"/>
        </w:rPr>
      </w:pPr>
    </w:p>
    <w:p>
      <w:pPr>
        <w:rPr>
          <w:rFonts w:ascii="FangSong_GB2312" w:hAnsi="宋体" w:eastAsia="FangSong_GB2312"/>
          <w:sz w:val="32"/>
          <w:szCs w:val="32"/>
        </w:rPr>
      </w:pPr>
    </w:p>
    <w:p>
      <w:pPr>
        <w:rPr>
          <w:rFonts w:ascii="FangSong_GB2312" w:hAnsi="宋体" w:eastAsia="FangSong_GB2312"/>
          <w:sz w:val="32"/>
          <w:szCs w:val="32"/>
        </w:rPr>
      </w:pPr>
    </w:p>
    <w:p>
      <w:pPr>
        <w:autoSpaceDN w:val="0"/>
        <w:snapToGrid w:val="0"/>
        <w:spacing w:afterLines="100" w:line="600" w:lineRule="exact"/>
        <w:rPr>
          <w:rFonts w:ascii="FangSong_GB2312" w:hAnsi="宋体" w:eastAsia="FangSong_GB2312" w:cs="宋体"/>
          <w:sz w:val="32"/>
          <w:szCs w:val="32"/>
        </w:rPr>
      </w:pPr>
      <w:r>
        <w:rPr>
          <w:rFonts w:hint="eastAsia" w:ascii="FangSong_GB2312" w:hAnsi="宋体" w:eastAsia="FangSong_GB2312"/>
          <w:sz w:val="32"/>
          <w:szCs w:val="32"/>
        </w:rPr>
        <w:t>附件7</w:t>
      </w:r>
    </w:p>
    <w:p>
      <w:pPr>
        <w:autoSpaceDE w:val="0"/>
        <w:autoSpaceDN w:val="0"/>
        <w:adjustRightInd w:val="0"/>
        <w:jc w:val="center"/>
        <w:rPr>
          <w:rFonts w:ascii="宋体" w:hAnsi="宋体" w:cs="宋体"/>
          <w:b/>
          <w:bCs/>
          <w:color w:val="000000"/>
          <w:kern w:val="0"/>
          <w:sz w:val="44"/>
          <w:szCs w:val="44"/>
        </w:rPr>
      </w:pPr>
      <w:r>
        <w:rPr>
          <w:rFonts w:hint="eastAsia" w:ascii="宋体" w:hAnsi="宋体" w:cs="宋体"/>
          <w:b/>
          <w:bCs/>
          <w:color w:val="000000"/>
          <w:kern w:val="0"/>
          <w:sz w:val="44"/>
          <w:szCs w:val="44"/>
        </w:rPr>
        <w:t>出资人出资承诺函</w:t>
      </w:r>
    </w:p>
    <w:p>
      <w:pPr>
        <w:autoSpaceDE w:val="0"/>
        <w:autoSpaceDN w:val="0"/>
        <w:adjustRightInd w:val="0"/>
        <w:rPr>
          <w:rFonts w:ascii="仿宋" w:hAnsi="仿宋" w:eastAsia="仿宋" w:cs="??_GB2312"/>
          <w:kern w:val="0"/>
          <w:szCs w:val="32"/>
        </w:rPr>
      </w:pPr>
    </w:p>
    <w:p>
      <w:pPr>
        <w:autoSpaceDE w:val="0"/>
        <w:autoSpaceDN w:val="0"/>
        <w:adjustRightInd w:val="0"/>
        <w:spacing w:line="600" w:lineRule="atLeast"/>
        <w:rPr>
          <w:rFonts w:ascii="FangSong_GB2312" w:hAnsi="宋体" w:eastAsia="FangSong_GB2312" w:cs="宋体"/>
          <w:color w:val="000000"/>
          <w:kern w:val="0"/>
          <w:sz w:val="32"/>
          <w:szCs w:val="32"/>
        </w:rPr>
      </w:pPr>
      <w:r>
        <w:rPr>
          <w:rFonts w:ascii="FangSong_GB2312" w:hAnsi="宋体" w:eastAsia="FangSong_GB2312" w:cs="宋体"/>
          <w:color w:val="000000"/>
          <w:kern w:val="0"/>
          <w:sz w:val="32"/>
          <w:szCs w:val="32"/>
        </w:rPr>
        <w:t>XXXXX</w:t>
      </w:r>
      <w:r>
        <w:rPr>
          <w:rFonts w:hint="eastAsia" w:ascii="FangSong_GB2312" w:hAnsi="宋体" w:eastAsia="FangSong_GB2312" w:cs="宋体"/>
          <w:color w:val="000000"/>
          <w:kern w:val="0"/>
          <w:sz w:val="32"/>
          <w:szCs w:val="32"/>
        </w:rPr>
        <w:t>基金：</w:t>
      </w:r>
    </w:p>
    <w:p>
      <w:pPr>
        <w:autoSpaceDE w:val="0"/>
        <w:autoSpaceDN w:val="0"/>
        <w:adjustRightInd w:val="0"/>
        <w:spacing w:line="600" w:lineRule="atLeast"/>
        <w:rPr>
          <w:rFonts w:ascii="FangSong_GB2312" w:hAnsi="宋体" w:eastAsia="FangSong_GB2312" w:cs="宋体"/>
          <w:color w:val="000000"/>
          <w:kern w:val="0"/>
          <w:sz w:val="32"/>
          <w:szCs w:val="32"/>
        </w:rPr>
      </w:pPr>
    </w:p>
    <w:p>
      <w:pPr>
        <w:autoSpaceDE w:val="0"/>
        <w:autoSpaceDN w:val="0"/>
        <w:adjustRightInd w:val="0"/>
        <w:spacing w:line="620" w:lineRule="atLeast"/>
        <w:ind w:firstLine="640"/>
        <w:rPr>
          <w:rFonts w:ascii="FangSong_GB2312" w:hAnsi="宋体" w:eastAsia="FangSong_GB2312" w:cs="宋体"/>
          <w:color w:val="000000"/>
          <w:kern w:val="0"/>
          <w:sz w:val="32"/>
          <w:szCs w:val="32"/>
        </w:rPr>
      </w:pPr>
      <w:r>
        <w:rPr>
          <w:rFonts w:hint="eastAsia" w:ascii="FangSong_GB2312" w:hAnsi="宋体" w:eastAsia="FangSong_GB2312" w:cs="宋体"/>
          <w:color w:val="000000"/>
          <w:kern w:val="0"/>
          <w:sz w:val="32"/>
          <w:szCs w:val="32"/>
        </w:rPr>
        <w:t>本人</w:t>
      </w:r>
      <w:r>
        <w:rPr>
          <w:rFonts w:ascii="FangSong_GB2312" w:hAnsi="宋体" w:eastAsia="FangSong_GB2312" w:cs="宋体"/>
          <w:color w:val="000000"/>
          <w:kern w:val="0"/>
          <w:sz w:val="32"/>
          <w:szCs w:val="32"/>
        </w:rPr>
        <w:t>/</w:t>
      </w:r>
      <w:r>
        <w:rPr>
          <w:rFonts w:hint="eastAsia" w:ascii="FangSong_GB2312" w:hAnsi="宋体" w:eastAsia="FangSong_GB2312" w:cs="宋体"/>
          <w:color w:val="000000"/>
          <w:kern w:val="0"/>
          <w:sz w:val="32"/>
          <w:szCs w:val="32"/>
        </w:rPr>
        <w:t>企业兹承诺并确认如下事项：</w:t>
      </w:r>
    </w:p>
    <w:p>
      <w:pPr>
        <w:autoSpaceDE w:val="0"/>
        <w:autoSpaceDN w:val="0"/>
        <w:adjustRightInd w:val="0"/>
        <w:spacing w:line="620" w:lineRule="atLeast"/>
        <w:ind w:firstLine="640"/>
        <w:rPr>
          <w:rFonts w:ascii="FangSong_GB2312" w:hAnsi="宋体" w:eastAsia="FangSong_GB2312" w:cs="宋体"/>
          <w:color w:val="000000"/>
          <w:kern w:val="0"/>
          <w:sz w:val="32"/>
          <w:szCs w:val="32"/>
        </w:rPr>
      </w:pPr>
      <w:r>
        <w:rPr>
          <w:rFonts w:ascii="FangSong_GB2312" w:hAnsi="宋体" w:eastAsia="FangSong_GB2312" w:cs="宋体"/>
          <w:color w:val="000000"/>
          <w:kern w:val="0"/>
          <w:sz w:val="32"/>
          <w:szCs w:val="32"/>
        </w:rPr>
        <w:t xml:space="preserve">1. </w:t>
      </w:r>
      <w:r>
        <w:rPr>
          <w:rFonts w:hint="eastAsia" w:ascii="FangSong_GB2312" w:hAnsi="宋体" w:eastAsia="FangSong_GB2312" w:cs="宋体"/>
          <w:color w:val="000000"/>
          <w:kern w:val="0"/>
          <w:sz w:val="32"/>
          <w:szCs w:val="32"/>
        </w:rPr>
        <w:t>认购基金出资  万元人民币，并于该基金管理人发出缴款通知书日内将应当缴付的出资额，足额汇入本基金资金托管银行账户；</w:t>
      </w:r>
    </w:p>
    <w:p>
      <w:pPr>
        <w:autoSpaceDE w:val="0"/>
        <w:autoSpaceDN w:val="0"/>
        <w:adjustRightInd w:val="0"/>
        <w:spacing w:line="620" w:lineRule="atLeast"/>
        <w:ind w:firstLine="640"/>
        <w:rPr>
          <w:rFonts w:ascii="FangSong_GB2312" w:hAnsi="宋体" w:eastAsia="FangSong_GB2312" w:cs="宋体"/>
          <w:color w:val="000000"/>
          <w:kern w:val="0"/>
          <w:sz w:val="32"/>
          <w:szCs w:val="32"/>
        </w:rPr>
      </w:pPr>
      <w:r>
        <w:rPr>
          <w:rFonts w:ascii="FangSong_GB2312" w:hAnsi="宋体" w:eastAsia="FangSong_GB2312" w:cs="宋体"/>
          <w:color w:val="000000"/>
          <w:kern w:val="0"/>
          <w:sz w:val="32"/>
          <w:szCs w:val="32"/>
        </w:rPr>
        <w:t xml:space="preserve">2. </w:t>
      </w:r>
      <w:r>
        <w:rPr>
          <w:rFonts w:hint="eastAsia" w:ascii="FangSong_GB2312" w:hAnsi="宋体" w:eastAsia="FangSong_GB2312" w:cs="宋体"/>
          <w:color w:val="000000"/>
          <w:kern w:val="0"/>
          <w:sz w:val="32"/>
          <w:szCs w:val="32"/>
        </w:rPr>
        <w:t>拟投资的资金来源合法，本人</w:t>
      </w:r>
      <w:r>
        <w:rPr>
          <w:rFonts w:ascii="FangSong_GB2312" w:hAnsi="宋体" w:eastAsia="FangSong_GB2312" w:cs="宋体"/>
          <w:color w:val="000000"/>
          <w:kern w:val="0"/>
          <w:sz w:val="32"/>
          <w:szCs w:val="32"/>
        </w:rPr>
        <w:t>/</w:t>
      </w:r>
      <w:r>
        <w:rPr>
          <w:rFonts w:hint="eastAsia" w:ascii="FangSong_GB2312" w:hAnsi="宋体" w:eastAsia="FangSong_GB2312" w:cs="宋体"/>
          <w:color w:val="000000"/>
          <w:kern w:val="0"/>
          <w:sz w:val="32"/>
          <w:szCs w:val="32"/>
        </w:rPr>
        <w:t>企业拥有完整无瑕疵的产权；</w:t>
      </w:r>
    </w:p>
    <w:p>
      <w:pPr>
        <w:autoSpaceDE w:val="0"/>
        <w:autoSpaceDN w:val="0"/>
        <w:adjustRightInd w:val="0"/>
        <w:spacing w:line="620" w:lineRule="atLeast"/>
        <w:ind w:firstLine="640"/>
        <w:rPr>
          <w:rFonts w:ascii="FangSong_GB2312" w:hAnsi="宋体" w:eastAsia="FangSong_GB2312" w:cs="宋体"/>
          <w:color w:val="000000"/>
          <w:kern w:val="0"/>
          <w:sz w:val="32"/>
          <w:szCs w:val="32"/>
        </w:rPr>
      </w:pPr>
      <w:r>
        <w:rPr>
          <w:rFonts w:ascii="FangSong_GB2312" w:hAnsi="宋体" w:eastAsia="FangSong_GB2312" w:cs="宋体"/>
          <w:color w:val="000000"/>
          <w:kern w:val="0"/>
          <w:sz w:val="32"/>
          <w:szCs w:val="32"/>
        </w:rPr>
        <w:t xml:space="preserve">3. </w:t>
      </w:r>
      <w:r>
        <w:rPr>
          <w:rFonts w:hint="eastAsia" w:ascii="FangSong_GB2312" w:hAnsi="宋体" w:eastAsia="FangSong_GB2312" w:cs="宋体"/>
          <w:color w:val="000000"/>
          <w:kern w:val="0"/>
          <w:sz w:val="32"/>
          <w:szCs w:val="32"/>
        </w:rPr>
        <w:t>已认真阅读、充分理解，并且同意申请人提报的申报材料内容；</w:t>
      </w:r>
    </w:p>
    <w:p>
      <w:pPr>
        <w:autoSpaceDE w:val="0"/>
        <w:autoSpaceDN w:val="0"/>
        <w:adjustRightInd w:val="0"/>
        <w:spacing w:line="620" w:lineRule="atLeast"/>
        <w:ind w:firstLine="640"/>
        <w:rPr>
          <w:rFonts w:ascii="FangSong_GB2312" w:hAnsi="宋体" w:eastAsia="FangSong_GB2312" w:cs="宋体"/>
          <w:color w:val="000000"/>
          <w:kern w:val="0"/>
          <w:sz w:val="32"/>
          <w:szCs w:val="32"/>
        </w:rPr>
      </w:pPr>
      <w:r>
        <w:rPr>
          <w:rFonts w:ascii="FangSong_GB2312" w:hAnsi="宋体" w:eastAsia="FangSong_GB2312" w:cs="宋体"/>
          <w:color w:val="000000"/>
          <w:kern w:val="0"/>
          <w:sz w:val="32"/>
          <w:szCs w:val="32"/>
        </w:rPr>
        <w:t xml:space="preserve">4. </w:t>
      </w:r>
      <w:r>
        <w:rPr>
          <w:rFonts w:hint="eastAsia" w:ascii="FangSong_GB2312" w:hAnsi="宋体" w:eastAsia="FangSong_GB2312" w:cs="宋体"/>
          <w:color w:val="000000"/>
          <w:kern w:val="0"/>
          <w:sz w:val="32"/>
          <w:szCs w:val="32"/>
        </w:rPr>
        <w:t>本承诺函中所提供的信息真实、准确，对于未能履行承诺给基金带来的损失承担赔偿责任。</w:t>
      </w:r>
    </w:p>
    <w:p>
      <w:pPr>
        <w:autoSpaceDE w:val="0"/>
        <w:autoSpaceDN w:val="0"/>
        <w:adjustRightInd w:val="0"/>
        <w:spacing w:line="440" w:lineRule="atLeast"/>
        <w:rPr>
          <w:rFonts w:ascii="FangSong_GB2312" w:hAnsi="宋体" w:eastAsia="FangSong_GB2312" w:cs="宋体"/>
          <w:color w:val="000000"/>
          <w:kern w:val="0"/>
          <w:sz w:val="32"/>
          <w:szCs w:val="32"/>
        </w:rPr>
      </w:pPr>
    </w:p>
    <w:p>
      <w:pPr>
        <w:autoSpaceDE w:val="0"/>
        <w:autoSpaceDN w:val="0"/>
        <w:adjustRightInd w:val="0"/>
        <w:spacing w:line="440" w:lineRule="atLeast"/>
        <w:rPr>
          <w:rFonts w:ascii="FangSong_GB2312" w:hAnsi="宋体" w:eastAsia="FangSong_GB2312" w:cs="宋体"/>
          <w:color w:val="000000"/>
          <w:kern w:val="0"/>
          <w:sz w:val="32"/>
          <w:szCs w:val="32"/>
        </w:rPr>
      </w:pPr>
    </w:p>
    <w:p>
      <w:pPr>
        <w:autoSpaceDE w:val="0"/>
        <w:autoSpaceDN w:val="0"/>
        <w:adjustRightInd w:val="0"/>
        <w:spacing w:line="440" w:lineRule="atLeast"/>
        <w:rPr>
          <w:rFonts w:ascii="FangSong_GB2312" w:hAnsi="宋体" w:eastAsia="FangSong_GB2312" w:cs="宋体"/>
          <w:color w:val="000000"/>
          <w:kern w:val="0"/>
          <w:sz w:val="32"/>
          <w:szCs w:val="32"/>
        </w:rPr>
      </w:pPr>
    </w:p>
    <w:p>
      <w:pPr>
        <w:autoSpaceDE w:val="0"/>
        <w:autoSpaceDN w:val="0"/>
        <w:adjustRightInd w:val="0"/>
        <w:ind w:firstLine="5120" w:firstLineChars="1600"/>
        <w:rPr>
          <w:rFonts w:ascii="FangSong_GB2312" w:hAnsi="宋体" w:eastAsia="FangSong_GB2312" w:cs="宋体"/>
          <w:color w:val="000000"/>
          <w:kern w:val="0"/>
          <w:sz w:val="32"/>
          <w:szCs w:val="32"/>
        </w:rPr>
      </w:pPr>
      <w:r>
        <w:rPr>
          <w:rFonts w:hint="eastAsia" w:ascii="FangSong_GB2312" w:hAnsi="宋体" w:eastAsia="FangSong_GB2312" w:cs="宋体"/>
          <w:color w:val="000000"/>
          <w:kern w:val="0"/>
          <w:sz w:val="32"/>
          <w:szCs w:val="32"/>
        </w:rPr>
        <w:t>签名:</w:t>
      </w:r>
    </w:p>
    <w:p>
      <w:pPr>
        <w:autoSpaceDE w:val="0"/>
        <w:autoSpaceDN w:val="0"/>
        <w:adjustRightInd w:val="0"/>
        <w:ind w:firstLine="5120" w:firstLineChars="1600"/>
        <w:rPr>
          <w:rFonts w:ascii="FangSong_GB2312" w:hAnsi="宋体" w:eastAsia="FangSong_GB2312" w:cs="宋体"/>
          <w:color w:val="000000"/>
          <w:kern w:val="0"/>
          <w:sz w:val="32"/>
          <w:szCs w:val="32"/>
        </w:rPr>
      </w:pPr>
      <w:r>
        <w:rPr>
          <w:rFonts w:hint="eastAsia" w:ascii="FangSong_GB2312" w:hAnsi="宋体" w:eastAsia="FangSong_GB2312" w:cs="宋体"/>
          <w:color w:val="000000"/>
          <w:kern w:val="0"/>
          <w:sz w:val="32"/>
          <w:szCs w:val="32"/>
        </w:rPr>
        <w:t>盖章：</w:t>
      </w:r>
    </w:p>
    <w:p>
      <w:pPr>
        <w:jc w:val="center"/>
      </w:pPr>
      <w:r>
        <w:rPr>
          <w:rFonts w:hint="eastAsia" w:ascii="FangSong_GB2312" w:hAnsi="宋体" w:eastAsia="FangSong_GB2312" w:cs="宋体"/>
          <w:color w:val="000000"/>
          <w:kern w:val="0"/>
          <w:sz w:val="32"/>
          <w:szCs w:val="32"/>
        </w:rPr>
        <w:t xml:space="preserve">                      </w:t>
      </w:r>
      <w:r>
        <w:rPr>
          <w:rFonts w:ascii="FangSong_GB2312" w:hAnsi="宋体" w:eastAsia="FangSong_GB2312" w:cs="宋体"/>
          <w:color w:val="000000"/>
          <w:kern w:val="0"/>
          <w:sz w:val="32"/>
          <w:szCs w:val="32"/>
        </w:rPr>
        <w:t xml:space="preserve">           </w:t>
      </w:r>
      <w:r>
        <w:rPr>
          <w:rFonts w:hint="eastAsia" w:ascii="FangSong_GB2312" w:hAnsi="宋体" w:eastAsia="FangSong_GB2312" w:cs="宋体"/>
          <w:color w:val="000000"/>
          <w:kern w:val="0"/>
          <w:sz w:val="32"/>
          <w:szCs w:val="32"/>
        </w:rPr>
        <w:t>年   月   日</w:t>
      </w:r>
      <w:bookmarkStart w:id="0" w:name="_GoBack"/>
      <w:bookmarkEnd w:id="0"/>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angSong_GB2312">
    <w:altName w:val="仿宋_GB2312"/>
    <w:panose1 w:val="02010609060101010101"/>
    <w:charset w:val="86"/>
    <w:family w:val="modern"/>
    <w:pitch w:val="default"/>
    <w:sig w:usb0="00000000" w:usb1="00000000" w:usb2="00000016" w:usb3="00000000" w:csb0="00040001" w:csb1="00000000"/>
  </w:font>
  <w:font w:name="新宋体">
    <w:panose1 w:val="02010609030101010101"/>
    <w:charset w:val="86"/>
    <w:family w:val="modern"/>
    <w:pitch w:val="default"/>
    <w:sig w:usb0="00000003" w:usb1="288F0000" w:usb2="00000006" w:usb3="00000000" w:csb0="00040001" w:csb1="00000000"/>
  </w:font>
  <w:font w:name="文星简仿宋">
    <w:altName w:val="黑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00001" w:csb1="00000000"/>
  </w:font>
  <w:font w:name="??_GB2312">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Times New Roman" w:hAnsi="Times New Roman"/>
      </w:rPr>
      <w:t>11</w:t>
    </w:r>
    <w:r>
      <w:rPr>
        <w:rFonts w:ascii="宋体" w:hAnsi="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t>- 20 -</w:t>
    </w:r>
    <w:r>
      <w:rPr>
        <w:rFonts w:ascii="宋体" w:hAnsi="宋体"/>
        <w:sz w:val="28"/>
        <w:szCs w:val="28"/>
      </w:rPr>
      <w:fldChar w:fldCharType="end"/>
    </w:r>
  </w:p>
  <w:p>
    <w:pPr>
      <w:pStyle w:val="2"/>
      <w:rPr>
        <w:rFonts w:asci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021370"/>
    </w:sdtPr>
    <w:sdtContent>
      <w:p>
        <w:pPr>
          <w:pStyle w:val="2"/>
          <w:jc w:val="center"/>
        </w:pPr>
        <w:r>
          <w:fldChar w:fldCharType="begin"/>
        </w:r>
        <w:r>
          <w:instrText xml:space="preserve">PAGE   \* MERGEFORMAT</w:instrText>
        </w:r>
        <w:r>
          <w:fldChar w:fldCharType="separate"/>
        </w:r>
        <w:r>
          <w:rPr>
            <w:lang w:val="zh-CN"/>
          </w:rPr>
          <w:t>26</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4E7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2019-12-30T06:30:22Z</dcterms:created>
  <dc:creator>Administrator</dc:creator>
  <cp:lastModifiedBy>李慧</cp:lastModifiedBy>
  <dcterms:modified xsi:type="dcterms:W3CDTF">2019-12-30T06:30:32Z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