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b/>
          <w:sz w:val="28"/>
        </w:rPr>
      </w:pPr>
      <w:r>
        <w:rPr>
          <w:rFonts w:hint="eastAsia"/>
          <w:b/>
          <w:sz w:val="28"/>
        </w:rPr>
        <w:t>项目名称：哈尔滨天人瑞合生物质能源有限公司</w:t>
      </w:r>
    </w:p>
    <w:p>
      <w:pPr>
        <w:rPr>
          <w:b/>
          <w:sz w:val="28"/>
          <w:highlight w:val="none"/>
        </w:rPr>
      </w:pPr>
      <w:r>
        <w:rPr>
          <w:b/>
          <w:sz w:val="28"/>
        </w:rPr>
        <w:t>所处领域：</w:t>
      </w:r>
      <w:r>
        <w:rPr>
          <w:sz w:val="28"/>
          <w:highlight w:val="none"/>
        </w:rPr>
        <w:t>（注意：项目所处领域需在以下</w:t>
      </w:r>
      <w:r>
        <w:rPr>
          <w:rFonts w:hint="eastAsia"/>
          <w:sz w:val="28"/>
          <w:highlight w:val="none"/>
        </w:rPr>
        <w:t>8大类中打“</w:t>
      </w:r>
      <w:r>
        <w:rPr>
          <w:rFonts w:hint="eastAsia" w:ascii="MS Gothic" w:hAnsi="MS Gothic" w:eastAsia="MS Gothic" w:cs="MS Gothic"/>
          <w:sz w:val="28"/>
          <w:highlight w:val="none"/>
        </w:rPr>
        <w:t>✔”</w:t>
      </w:r>
      <w:r>
        <w:rPr>
          <w:sz w:val="28"/>
          <w:highlight w:val="none"/>
        </w:rPr>
        <w:t>）</w:t>
      </w:r>
    </w:p>
    <w:p>
      <w:pPr>
        <w:ind w:firstLine="1120" w:firstLineChars="400"/>
        <w:rPr>
          <w:rFonts w:hint="eastAsia"/>
          <w:sz w:val="28"/>
        </w:rPr>
      </w:pPr>
      <w:r>
        <w:rPr>
          <w:rFonts w:hint="eastAsia"/>
          <w:sz w:val="28"/>
        </w:rPr>
        <w:t>电子信息技术 （ ）</w:t>
      </w:r>
    </w:p>
    <w:p>
      <w:pPr>
        <w:ind w:firstLine="1120" w:firstLineChars="400"/>
        <w:rPr>
          <w:rFonts w:hint="eastAsia"/>
          <w:sz w:val="28"/>
        </w:rPr>
      </w:pPr>
      <w:r>
        <w:rPr>
          <w:rFonts w:hint="eastAsia"/>
          <w:sz w:val="28"/>
        </w:rPr>
        <w:t>现代农业 （ ）</w:t>
      </w:r>
    </w:p>
    <w:p>
      <w:pPr>
        <w:ind w:firstLine="1120" w:firstLineChars="400"/>
        <w:rPr>
          <w:rFonts w:hint="eastAsia"/>
          <w:sz w:val="28"/>
        </w:rPr>
      </w:pPr>
      <w:r>
        <w:rPr>
          <w:rFonts w:hint="eastAsia"/>
          <w:sz w:val="28"/>
        </w:rPr>
        <w:t>高端装备制造 （ ）</w:t>
      </w:r>
    </w:p>
    <w:p>
      <w:pPr>
        <w:ind w:firstLine="1120" w:firstLineChars="400"/>
        <w:rPr>
          <w:rFonts w:hint="eastAsia"/>
          <w:sz w:val="28"/>
        </w:rPr>
      </w:pPr>
      <w:r>
        <w:rPr>
          <w:rFonts w:hint="eastAsia"/>
          <w:sz w:val="28"/>
        </w:rPr>
        <w:t>新材料技术 （ ）</w:t>
      </w:r>
    </w:p>
    <w:p>
      <w:pPr>
        <w:ind w:firstLine="1120" w:firstLineChars="400"/>
        <w:rPr>
          <w:rFonts w:hint="eastAsia"/>
          <w:sz w:val="28"/>
        </w:rPr>
      </w:pPr>
      <w:r>
        <w:rPr>
          <w:rFonts w:hint="eastAsia"/>
          <w:sz w:val="28"/>
        </w:rPr>
        <w:t>生物技术 （ ）</w:t>
      </w:r>
    </w:p>
    <w:p>
      <w:pPr>
        <w:ind w:firstLine="1120" w:firstLineChars="400"/>
        <w:rPr>
          <w:rFonts w:hint="eastAsia"/>
          <w:sz w:val="28"/>
        </w:rPr>
      </w:pPr>
      <w:r>
        <w:rPr>
          <w:rFonts w:hint="eastAsia"/>
          <w:sz w:val="28"/>
        </w:rPr>
        <w:t>新能源及节能技术 （ ）</w:t>
      </w:r>
    </w:p>
    <w:p>
      <w:pPr>
        <w:ind w:firstLine="1120" w:firstLineChars="400"/>
        <w:rPr>
          <w:rFonts w:hint="eastAsia"/>
          <w:sz w:val="28"/>
        </w:rPr>
      </w:pPr>
      <w:r>
        <w:rPr>
          <w:rFonts w:hint="eastAsia"/>
          <w:sz w:val="28"/>
        </w:rPr>
        <w:t xml:space="preserve">资源与环境技术 （ </w:t>
      </w:r>
      <w:r>
        <w:rPr>
          <w:rFonts w:hint="eastAsia" w:ascii="MS Gothic" w:hAnsi="MS Gothic" w:eastAsia="MS Gothic" w:cs="MS Gothic"/>
          <w:sz w:val="28"/>
          <w:highlight w:val="none"/>
        </w:rPr>
        <w:t>✔</w:t>
      </w:r>
      <w:r>
        <w:rPr>
          <w:rFonts w:hint="eastAsia"/>
          <w:sz w:val="28"/>
        </w:rPr>
        <w:t>）</w:t>
      </w:r>
    </w:p>
    <w:p>
      <w:pPr>
        <w:ind w:firstLine="1120" w:firstLineChars="400"/>
        <w:rPr>
          <w:rFonts w:hint="eastAsia"/>
          <w:sz w:val="28"/>
        </w:rPr>
      </w:pPr>
      <w:r>
        <w:rPr>
          <w:rFonts w:hint="eastAsia"/>
          <w:sz w:val="28"/>
        </w:rPr>
        <w:t>新医药技术 （ ）</w:t>
      </w:r>
      <w:bookmarkStart w:id="0" w:name="_GoBack"/>
      <w:bookmarkEnd w:id="0"/>
    </w:p>
    <w:p>
      <w:pPr>
        <w:rPr>
          <w:rFonts w:hint="eastAsia" w:eastAsiaTheme="minorEastAsia"/>
          <w:b/>
          <w:sz w:val="28"/>
          <w:lang w:val="en-US" w:eastAsia="zh-CN"/>
        </w:rPr>
      </w:pPr>
      <w:r>
        <w:rPr>
          <w:rFonts w:hint="eastAsia"/>
          <w:b/>
          <w:sz w:val="28"/>
        </w:rPr>
        <w:t>融资轮次：</w:t>
      </w:r>
      <w:r>
        <w:rPr>
          <w:rFonts w:hint="eastAsia"/>
          <w:b/>
          <w:sz w:val="28"/>
          <w:lang w:val="en-US" w:eastAsia="zh-CN"/>
        </w:rPr>
        <w:t>A</w:t>
      </w:r>
    </w:p>
    <w:p>
      <w:pPr>
        <w:rPr>
          <w:rFonts w:hint="eastAsia" w:eastAsiaTheme="minorEastAsia"/>
          <w:b/>
          <w:sz w:val="28"/>
          <w:lang w:val="en-US" w:eastAsia="zh-CN"/>
        </w:rPr>
      </w:pPr>
      <w:r>
        <w:rPr>
          <w:rFonts w:hint="eastAsia"/>
          <w:b/>
          <w:sz w:val="28"/>
        </w:rPr>
        <w:t>融资金额：</w:t>
      </w:r>
      <w:r>
        <w:rPr>
          <w:rFonts w:hint="eastAsia"/>
          <w:b/>
          <w:sz w:val="28"/>
          <w:lang w:val="en-US" w:eastAsia="zh-CN"/>
        </w:rPr>
        <w:t>2000万元</w:t>
      </w:r>
    </w:p>
    <w:p>
      <w:pPr>
        <w:rPr>
          <w:rFonts w:hint="eastAsia" w:eastAsiaTheme="minorEastAsia"/>
          <w:b/>
          <w:sz w:val="28"/>
          <w:lang w:val="en-US" w:eastAsia="zh-CN"/>
        </w:rPr>
      </w:pPr>
      <w:r>
        <w:rPr>
          <w:rFonts w:hint="eastAsia"/>
          <w:b/>
          <w:sz w:val="28"/>
        </w:rPr>
        <w:t>出让比例：</w:t>
      </w:r>
      <w:r>
        <w:rPr>
          <w:rFonts w:hint="eastAsia"/>
          <w:b/>
          <w:sz w:val="28"/>
          <w:lang w:val="en-US" w:eastAsia="zh-CN"/>
        </w:rPr>
        <w:t>45.45%</w:t>
      </w:r>
    </w:p>
    <w:p>
      <w:pPr>
        <w:rPr>
          <w:rFonts w:hint="eastAsia" w:eastAsiaTheme="minorEastAsia"/>
          <w:b/>
          <w:sz w:val="28"/>
          <w:lang w:val="en-US" w:eastAsia="zh-CN"/>
        </w:rPr>
      </w:pPr>
      <w:r>
        <w:rPr>
          <w:rFonts w:hint="eastAsia"/>
          <w:b/>
          <w:sz w:val="28"/>
        </w:rPr>
        <w:t>项目阶段：</w:t>
      </w:r>
      <w:r>
        <w:rPr>
          <w:rFonts w:hint="eastAsia"/>
          <w:b/>
          <w:sz w:val="28"/>
          <w:lang w:val="en-US" w:eastAsia="zh-CN"/>
        </w:rPr>
        <w:t>初创期</w:t>
      </w:r>
    </w:p>
    <w:p>
      <w:pPr>
        <w:rPr>
          <w:rFonts w:hint="eastAsia"/>
          <w:b/>
          <w:sz w:val="28"/>
        </w:rPr>
      </w:pPr>
      <w:r>
        <w:rPr>
          <w:rFonts w:hint="eastAsia"/>
          <w:b/>
          <w:sz w:val="28"/>
        </w:rPr>
        <w:t>项目简介：</w:t>
      </w:r>
    </w:p>
    <w:p>
      <w:pPr>
        <w:rPr>
          <w:rFonts w:hint="eastAsia" w:asciiTheme="minorEastAsia" w:hAnsiTheme="minorEastAsia" w:eastAsiaTheme="minorEastAsia" w:cstheme="minorEastAsia"/>
          <w:sz w:val="28"/>
          <w:szCs w:val="32"/>
        </w:rPr>
      </w:pPr>
      <w:r>
        <w:rPr>
          <w:rFonts w:hint="eastAsia" w:asciiTheme="minorEastAsia" w:hAnsiTheme="minorEastAsia" w:eastAsiaTheme="minorEastAsia" w:cstheme="minorEastAsia"/>
          <w:i w:val="0"/>
          <w:caps w:val="0"/>
          <w:color w:val="333333"/>
          <w:spacing w:val="0"/>
          <w:sz w:val="28"/>
          <w:szCs w:val="28"/>
          <w:shd w:val="clear" w:fill="FFFFFF"/>
        </w:rPr>
        <w:t>哈尔滨天人瑞合生物质能源有限公司是瀚蓝环境股份有限公司旗下的子公司， 占地面积66032.2平方米，</w:t>
      </w:r>
      <w:r>
        <w:rPr>
          <w:rFonts w:hint="eastAsia" w:asciiTheme="minorEastAsia" w:hAnsiTheme="minorEastAsia" w:eastAsiaTheme="minorEastAsia" w:cstheme="minorEastAsia"/>
          <w:i w:val="0"/>
          <w:caps w:val="0"/>
          <w:color w:val="333333"/>
          <w:spacing w:val="0"/>
          <w:sz w:val="28"/>
          <w:szCs w:val="28"/>
          <w:shd w:val="clear" w:fill="FFFFFF"/>
          <w:lang w:val="en-US" w:eastAsia="zh-CN"/>
        </w:rPr>
        <w:t>注册资本</w:t>
      </w:r>
      <w:r>
        <w:rPr>
          <w:rFonts w:hint="eastAsia" w:asciiTheme="minorEastAsia" w:hAnsiTheme="minorEastAsia" w:eastAsiaTheme="minorEastAsia" w:cstheme="minorEastAsia"/>
          <w:i w:val="0"/>
          <w:caps w:val="0"/>
          <w:color w:val="000000"/>
          <w:spacing w:val="0"/>
          <w:sz w:val="28"/>
          <w:szCs w:val="28"/>
          <w:shd w:val="clear" w:fill="FFFFFF"/>
        </w:rPr>
        <w:t>12,466.14万元</w:t>
      </w:r>
      <w:r>
        <w:rPr>
          <w:rFonts w:hint="eastAsia" w:asciiTheme="minorEastAsia" w:hAnsiTheme="minorEastAsia" w:eastAsiaTheme="minorEastAsia" w:cstheme="minorEastAsia"/>
          <w:i w:val="0"/>
          <w:caps w:val="0"/>
          <w:color w:val="000000"/>
          <w:spacing w:val="0"/>
          <w:sz w:val="28"/>
          <w:szCs w:val="28"/>
          <w:shd w:val="clear" w:fill="FFFFFF"/>
          <w:lang w:eastAsia="zh-CN"/>
        </w:rPr>
        <w:t>，</w:t>
      </w:r>
      <w:r>
        <w:rPr>
          <w:rFonts w:hint="eastAsia" w:asciiTheme="minorEastAsia" w:hAnsiTheme="minorEastAsia" w:eastAsiaTheme="minorEastAsia" w:cstheme="minorEastAsia"/>
          <w:i w:val="0"/>
          <w:caps w:val="0"/>
          <w:color w:val="333333"/>
          <w:spacing w:val="0"/>
          <w:sz w:val="28"/>
          <w:szCs w:val="28"/>
          <w:shd w:val="clear" w:fill="FFFFFF"/>
        </w:rPr>
        <w:t>主营业务是餐厨垃圾处理，建成后日处理餐厨废弃物300吨，生物柴油20吨。项目总投资约为15379.28万元。餐厨废弃物资源化的主要产品为沼气、生物柴油、有机肥。</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瀚蓝环境股份有限公司是一家专注于环境服务产业的上市公司（股票代码：600323），业务领域涵盖固废处理、自来水供应、污水处理、燃气供应，秉持“城市好管家、行业好典范、社区好邻居”的责任理念，致力为各大城市提供系统化环境服务与解决方案。</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固废处理业务：公司固废处理业务实现包括前端的垃圾集中压缩转运；中端的生活垃圾焚烧处理、污泥干化焚烧处理、餐厨垃圾处理；以及末端的渗滤液处理、飞灰处理在内的全产业链覆盖。其中，垃圾焚烧发电处理业务规模14350吨/日，业务市场包括广东、福建、湖北、河北、辽宁、贵州、哈尔滨等7个省市，业务规模居全国前列。</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其中，公司投资超过20亿元，建设了南海固废处理环保产业园。产业园规划建设了固体废物全产业链处理系统，形成了由源头到终端完整的固体废物处理产业链。公司固废处理技术能力和运营管理能力处于行业前列，其中南海垃圾焚烧发电二厂为代表全国高运营水平的AAA级垃圾焚烧发电厂；南海垃圾压缩转运系统为国家住房和和城乡建设部科技示范工程；南海固废处理环保产业园以系统的整体规划，国际领先的建设标准，优于欧盟标准的排放指标，专业、坦诚、透明的运营，赢得了社会的认可和支持，与大学城及高档生活社区比邻而居，和睦相处，受到国家住建部及各地方政府、行业的认可，被称为“破解垃圾围城困境的‘南海样本’”，成为国内同行业标杆和典范。</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供水业务：拥有供水服务全产业链，包括取水、制水、输水到终端客户服务。公司目前供水设计能力158万立方米/日，其中一家单厂日供水规模100万立方米。供水范围覆盖全南海区1000多平方公里，服务人口300万人，供水水质一直达到并优于国家规定的水质标准。</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污水处理业务：拥有包括污水处理管网维护、泵站管理、污水处理厂运营管理的污水处理服务全产业链。通过BOT、TOT和委托运营等方式，拥有约20个污水处理项目的特许经营权，目前污水处理规模约60万立方米/日。</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燃气业务：公司自2011年起进入燃气供应领域，主要负责南海区的管道天然气、瓶装气等供应。</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作为系统化环境服务投资商和运营商，公司深谙环保企业应肩负的社会责任，创新性提出打造“城市好管家、行业好典范、社区好邻居”的“三好企业”以及与员工进行“财富的分享、能力的分享、价值观的分享”的“三分享”的社会责任理念，并提升到公司战略层面，紧紧围绕公司主营业务和日常经营管理履行社会责任，得到社会的广泛认可，获评为水务企业和固废行业具社会责任企业、广东上市公司社会责任建设二十强、全国上市公司社会责任建设百强。</w:t>
      </w:r>
    </w:p>
    <w:p>
      <w:pPr>
        <w:rPr>
          <w:rFonts w:hint="eastAsia" w:asciiTheme="minorEastAsia" w:hAnsiTheme="minorEastAsia" w:eastAsiaTheme="minorEastAsia" w:cstheme="minorEastAsia"/>
          <w:sz w:val="28"/>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8B"/>
    <w:rsid w:val="00387C67"/>
    <w:rsid w:val="00446CDC"/>
    <w:rsid w:val="005C418B"/>
    <w:rsid w:val="00E7538B"/>
    <w:rsid w:val="45E85FBC"/>
    <w:rsid w:val="73185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59</Words>
  <Characters>338</Characters>
  <Lines>2</Lines>
  <Paragraphs>1</Paragraphs>
  <TotalTime>2</TotalTime>
  <ScaleCrop>false</ScaleCrop>
  <LinksUpToDate>false</LinksUpToDate>
  <CharactersWithSpaces>396</CharactersWithSpaces>
  <Application>WPS Office_10.1.0.7578_F1E327BC-269C-435d-A152-05C5408002CA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2018-10-16T08:04:00Z</dcterms:created>
  <dc:creator>周宇</dc:creator>
  <cp:lastModifiedBy>Bocay</cp:lastModifiedBy>
  <dcterms:modified xsi:type="dcterms:W3CDTF">2018-10-17T07:46:19Z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